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미관측 유형 사기에 대한 오토인코더 기반 하이브리드 모델의 효과 검증</w:t>
      </w:r>
    </w:p>
    <w:p>
      <w:pPr/>
      <w:r>
        <w:t xml:space="preserve">Oct 26, 2026</w:t>
      </w:r>
      <w:r>
        <w:t xml:space="preserve"> · </w:t>
      </w:r>
      <w:r>
        <w:t xml:space="preserve">@yoom</w:t>
      </w:r>
    </w:p>
    <w:p>
      <w:pPr/>
      <w:r>
        <w:rPr>
          <w:b/>
        </w:rPr>
        <w:t xml:space="preserve">오 유 미</w:t>
      </w:r>
    </w:p>
    <w:p>
      <w:pPr/>
      <w:r>
        <w:t xml:space="preserve">방송통신대학원 정보과학과</w:t>
      </w:r>
    </w:p>
    <w:p>
      <w:pPr/>
      <w:r>
        <w:rPr>
          <w:b/>
        </w:rPr>
        <w:t xml:space="preserve">요 약</w:t>
      </w:r>
      <w:r>
        <w:t xml:space="preserve">  사기범은 수법을 계속 바꾼다. 그래서 과거 사기 사례로 학습한 모델은 처음 보는 유형의 사기를 놓치기 쉽다. 본 논문은 정상 거래만 보고 배우는 오토인코더를 사기 탐지 모델(LightGBM)에 더하면, 처음 보는 사기를 더 잘 찾는지 확인했다. 거래 590,540건(사기 3.50%)의 IEEE-CIS 데이터에서 상품 유형 5개를 하나씩 골라, 그 유형의 사기를 학습에서 뺀 뒤 시험했다. 그 결과 다른 사기와 성격이 크게 다른 유형 C에서는 사기를 가려내는 점수(PR-AUC)가 0.321에서 0.395로 확실히 올랐다. 하지만 다른 유형과 비슷한 유형에서는 효과가 거의 없었고, 이미 아는 사기를 찾는 성능은 오히려 떨어졌다. 또 전체 거래 중 상위 10%만 검토하는 실제 운영 방식에서는 처음 보는 사기를 더 많이 잡지 못했다. 즉 오토인코더의 효과는 새 사기가 기존 사기와 얼마나 다른지에 달려 있다.</w:t>
      </w:r>
    </w:p>
    <w:p>
      <w:pPr/>
      <w:r>
        <w:rPr>
          <w:b/>
        </w:rPr>
        <w:t xml:space="preserve">키워드 :</w:t>
      </w:r>
      <w:r>
        <w:t xml:space="preserve"> 신용카드 사기 탐지, 미관측 사기, 오토인코더, 이상 탐지, LightGBM, 하이브리드 모델</w:t>
      </w:r>
    </w:p>
    <w:p>
      <w:pPr>
        <w:pStyle w:val="Heading2"/>
      </w:pPr>
      <w:r>
        <w:t xml:space="preserve">1. 서 론</w:t>
      </w:r>
    </w:p>
    <w:p>
      <w:pPr/>
      <w:r>
        <w:t xml:space="preserve">사기 탐지 모델은 보통 "이 거래는 사기였다"는 기록(라벨)을 보고 배운다. 이런 방식을 지도학습이라고 한다. 지도학습 모델은 배운 적 있는 사기는 잘 찾지만, 아직 기록이 없는 새 수법의 사기는 찾을 근거가 없다. 사기범은 막히면 수법을 바꾸므로, 실제 현장의 모델은 늘 처음 보는 사기를 마주하게 된다.</w:t>
      </w:r>
    </w:p>
    <w:p>
      <w:pPr/>
      <w:r>
        <w:t xml:space="preserve">오토인코더는 정상 거래만 보고 "평소 거래의 모습"을 익히는 모델이다. 평소와 다른 거래가 들어오면 이를 "이상하다"고 알려 준다. 사기 기록이 필요 없으므로 처음 보는 사기도 찾을 수 있다는 기대가 있고, 그래서 지도학습 모델과 함께 쓰는 방식(하이브리드)이 자주 제안된다. 하지만 이 기대가 맞는지 확인하려면, 모델이 정말 한 번도 본 적 없는 사기를 실험에서 일부러 만들어야 한다. 전체 데이터의 평균 점수만 보면 이미 아는 사기가 대부분이라 효과가 드러나지 않는다.</w:t>
      </w:r>
    </w:p>
    <w:p>
      <w:pPr/>
      <w:r>
        <w:t xml:space="preserve">본 논문은 다음 세 가지를 알아본다.</w:t>
      </w:r>
    </w:p>
    <w:p>
      <w:pPr>
        <w:pStyle w:val="ListParagraph"/>
        <w:numPr>
          <w:ilvl w:val="0"/>
          <w:numId w:val="2"/>
        </w:numPr>
      </w:pPr>
      <w:r>
        <w:t xml:space="preserve">한 유형의 사기를 학습 때 전혀 보여 주지 않으면, 오토인코더를 더한 모델이 그 사기를 더 잘 찾는가?</w:t>
      </w:r>
    </w:p>
    <w:p>
      <w:pPr>
        <w:pStyle w:val="ListParagraph"/>
        <w:numPr>
          <w:ilvl w:val="0"/>
          <w:numId w:val="2"/>
        </w:numPr>
      </w:pPr>
      <w:r>
        <w:t xml:space="preserve">더 잘 찾는다면 어떤 유형에서이며, 이미 아는 사기를 찾는 성능은 얼마나 떨어지는가?</w:t>
      </w:r>
    </w:p>
    <w:p>
      <w:pPr>
        <w:pStyle w:val="ListParagraph"/>
        <w:numPr>
          <w:ilvl w:val="0"/>
          <w:numId w:val="2"/>
        </w:numPr>
      </w:pPr>
      <w:r>
        <w:t xml:space="preserve">점수가 오르면 실제 운영에서도 사기를 더 많이 잡는가?</w:t>
      </w:r>
    </w:p>
    <w:p>
      <w:pPr/>
      <w:r>
        <w:t xml:space="preserve">이를 위해 상품 유형 하나의 사기를 학습에서 빼는 방식으로 "처음 보는 사기"를 만들었다. 오토인코더를 고를 때도 사기 기록을 쓰지 않아, 숨긴 사기의 정보가 어디에도 새지 않게 했다. 또 모델이 상품 유형 이름만 보고 쉽게 판단하는 "지름길"을 막았다. 그 결과 효과가 유형마다 다르고, 점수가 올라도 실제 운영에서 더 많이 잡지는 못한다는 것을 숫자로 보였다.</w:t>
      </w:r>
    </w:p>
    <w:p>
      <w:pPr/>
      <w:r>
        <w:t xml:space="preserve">논문의 구성은 다음과 같다. 2장은 관련 연구, 3장은 데이터와 준비 과정, 4장은 실험 방법, 5장은 결과, 6장은 결과의 의미, 7장은 결론과 한계를 다룬다.</w:t>
      </w:r>
    </w:p>
    <w:p>
      <w:pPr>
        <w:pStyle w:val="Heading2"/>
      </w:pPr>
      <w:r>
        <w:t xml:space="preserve">2. 관련 연구</w:t>
      </w:r>
    </w:p>
    <w:p>
      <w:pPr>
        <w:pStyle w:val="Heading3"/>
      </w:pPr>
      <w:r>
        <w:t xml:space="preserve">2.1 지도학습 기반 사기 탐지</w:t>
      </w:r>
    </w:p>
    <w:p>
      <w:pPr/>
      <w:r>
        <w:t xml:space="preserve">거래 데이터처럼 표 형태인 데이터에는 작은 의사결정 나무를 여러 개 쌓아 판단하는 모델이 많이 쓰인다. 그중 LightGBM[1]은 큰 데이터를 빠르게 학습하고 빈 값도 스스로 처리해서, 본 논문이 쓴 IEEE-CIS 대회[2]에서도 널리 쓰였다. 하지만 이런 지도학습 모델은 기록으로 본 사기 패턴만 배울 수 있다.</w:t>
      </w:r>
    </w:p>
    <w:p>
      <w:pPr>
        <w:pStyle w:val="Heading3"/>
      </w:pPr>
      <w:r>
        <w:t xml:space="preserve">2.2 오토인코더 이상 탐지</w:t>
      </w:r>
    </w:p>
    <w:p>
      <w:pPr/>
      <w:r>
        <w:t xml:space="preserve">오토인코더[3]는 거래 정보를 작게 압축했다가 다시 원래대로 복원하도록 배우는 모델이다. 정상 거래만으로 배우면 정상 거래는 잘 복원하고, 평소와 다른 거래는 잘 복원하지 못한다. 이 복원 오차가 "이상한 정도"를 나타내는 점수가 된다. 이런 이상 탐지 방법들은 G. Pang 등[4]이 정리했고, Isolation Forest[5]도 대표적인 방법이다. 다만 "평소와 다르다"가 곧 "사기다"는 뜻은 아니라는 한계가 있다.</w:t>
      </w:r>
    </w:p>
    <w:p>
      <w:pPr>
        <w:pStyle w:val="Heading3"/>
      </w:pPr>
      <w:r>
        <w:t xml:space="preserve">2.3 하이브리드 접근</w:t>
      </w:r>
    </w:p>
    <w:p>
      <w:pPr/>
      <w:r>
        <w:t xml:space="preserve">두 모델의 점수를 함께 쓰면 서로의 약점을 채울 수 있다고 기대된다. 합치는 방법으로는 두 점수를 일정 비율로 섞는 방법, 오토인코더 점수를 지도학습 모델의 입력으로 넣는 방법 등이 있다.</w:t>
      </w:r>
    </w:p>
    <w:p>
      <w:pPr>
        <w:pStyle w:val="Heading3"/>
      </w:pPr>
      <w:r>
        <w:t xml:space="preserve">2.4 미관측 사기 평가의 어려움</w:t>
      </w:r>
    </w:p>
    <w:p>
      <w:pPr/>
      <w:r>
        <w:t xml:space="preserve">하이브리드의 효과는 보통 전체 데이터의 평균 점수로 보고된다. 그런데 전체 데이터에는 이미 아는 사기가 대부분이라, 처음 보는 사기에 대한 효과는 묻힌다. 또 모델이 의도하지 않은 쉬운 단서로 답을 맞히는 "지름길 학습"[6]은 일부 유형을 숨기는 실험에서 특히 문제가 된다. 사기처럼 드문 경우를 평가할 때는 ROC-AUC보다 PR-AUC가 더 적합하다는 점도 알려져 있다[7].</w:t>
      </w:r>
    </w:p>
    <w:p>
      <w:pPr>
        <w:pStyle w:val="Heading2"/>
      </w:pPr>
      <w:r>
        <w:t xml:space="preserve">3. 데이터 및 전처리</w:t>
      </w:r>
    </w:p>
    <w:p>
      <w:pPr/>
      <w:r>
        <w:t xml:space="preserve">Kaggle의 IEEE-CIS 사기 탐지 데이터를 사용했다. 거래 정보 파일과 기기·신원 정보 파일을 거래 번호(TransactionID)로 합쳐, 거래 590,540건과 항목 434개를 얻었다. 이 중 사기는 20,663건(3.50%)이다.</w:t>
      </w:r>
    </w:p>
    <w:p>
      <w:pPr>
        <w:pStyle w:val="Heading3"/>
      </w:pPr>
      <w:r>
        <w:t xml:space="preserve">3.1 상품 유형별 특징</w:t>
      </w:r>
    </w:p>
    <w:p>
      <w:pPr/>
      <w:r>
        <w:t xml:space="preserve">거래는 상품 유형 W, C, R, H, S로 나뉘는데, 각 코드가 어떤 상품인지는 공개되지 않았다. 데이터에서 확인한 유형별 특징은 표 1과 같다.</w:t>
      </w:r>
    </w:p>
    <w:p>
      <w:pPr/>
      <w:r>
        <w:t xml:space="preserve">표 1. 상품 유형별 특징 (전체 학습용 데이터)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028"/>
        <w:gridCol w:w="896"/>
        <w:gridCol w:w="1385"/>
        <w:gridCol w:w="1510"/>
        <w:gridCol w:w="1307"/>
        <w:gridCol w:w="1552"/>
        <w:gridCol w:w="96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1028" w:type="dxa"/>
            <w:shd w:val="clear" w:color="auto" w:fill="F2F2F2"/>
          </w:tcPr>
          <w:p>
            <w:pPr/>
            <w:r>
              <w:t xml:space="preserve">거래 수</w:t>
            </w:r>
          </w:p>
        </w:tc>
        <w:tc>
          <w:tcPr>
            <w:tcW w:w="896" w:type="dxa"/>
            <w:shd w:val="clear" w:color="auto" w:fill="F2F2F2"/>
          </w:tcPr>
          <w:p>
            <w:pPr/>
            <w:r>
              <w:t xml:space="preserve">사기율</w:t>
            </w:r>
          </w:p>
        </w:tc>
        <w:tc>
          <w:tcPr>
            <w:tcW w:w="1385" w:type="dxa"/>
            <w:shd w:val="clear" w:color="auto" w:fill="F2F2F2"/>
          </w:tcPr>
          <w:p>
            <w:pPr/>
            <w:r>
              <w:t xml:space="preserve">금액 중앙값 ($)</w:t>
            </w:r>
          </w:p>
        </w:tc>
        <w:tc>
          <w:tcPr>
            <w:tcW w:w="1510" w:type="dxa"/>
            <w:shd w:val="clear" w:color="auto" w:fill="F2F2F2"/>
          </w:tcPr>
          <w:p>
            <w:pPr/>
            <w:r>
              <w:t xml:space="preserve">센트 단위 금액 비율</w:t>
            </w:r>
          </w:p>
        </w:tc>
        <w:tc>
          <w:tcPr>
            <w:tcW w:w="1307" w:type="dxa"/>
            <w:shd w:val="clear" w:color="auto" w:fill="F2F2F2"/>
          </w:tcPr>
          <w:p>
            <w:pPr/>
            <w:r>
              <w:t xml:space="preserve">기기 정보 보유</w:t>
            </w:r>
          </w:p>
        </w:tc>
        <w:tc>
          <w:tcPr>
            <w:tcW w:w="1552" w:type="dxa"/>
            <w:shd w:val="clear" w:color="auto" w:fill="F2F2F2"/>
          </w:tcPr>
          <w:p>
            <w:pPr/>
            <w:r>
              <w:t xml:space="preserve">청구지 주소 보유</w:t>
            </w:r>
          </w:p>
        </w:tc>
        <w:tc>
          <w:tcPr>
            <w:tcW w:w="960" w:type="dxa"/>
            <w:shd w:val="clear" w:color="auto" w:fill="F2F2F2"/>
          </w:tcPr>
          <w:p>
            <w:pPr/>
            <w:r>
              <w:t xml:space="preserve">M 컬럼</w:t>
            </w:r>
          </w:p>
        </w:tc>
      </w:tr>
      <w:tr>
        <w:tc>
          <w:tcPr>
            <w:tcW w:w="720" w:type="dxa"/>
          </w:tcPr>
          <w:p>
            <w:pPr/>
            <w:r>
              <w:t xml:space="preserve">W</w:t>
            </w:r>
          </w:p>
        </w:tc>
        <w:tc>
          <w:tcPr>
            <w:tcW w:w="1028" w:type="dxa"/>
          </w:tcPr>
          <w:p>
            <w:pPr/>
            <w:r>
              <w:t xml:space="preserve">439,670</w:t>
            </w:r>
          </w:p>
        </w:tc>
        <w:tc>
          <w:tcPr>
            <w:tcW w:w="896" w:type="dxa"/>
          </w:tcPr>
          <w:p>
            <w:pPr/>
            <w:r>
              <w:t xml:space="preserve">2.0%</w:t>
            </w:r>
          </w:p>
        </w:tc>
        <w:tc>
          <w:tcPr>
            <w:tcW w:w="1385" w:type="dxa"/>
          </w:tcPr>
          <w:p>
            <w:pPr/>
            <w:r>
              <w:t xml:space="preserve">78.5</w:t>
            </w:r>
          </w:p>
        </w:tc>
        <w:tc>
          <w:tcPr>
            <w:tcW w:w="1510" w:type="dxa"/>
          </w:tcPr>
          <w:p>
            <w:pPr/>
            <w:r>
              <w:t xml:space="preserve">49%</w:t>
            </w:r>
          </w:p>
        </w:tc>
        <w:tc>
          <w:tcPr>
            <w:tcW w:w="1307" w:type="dxa"/>
          </w:tcPr>
          <w:p>
            <w:pPr/>
            <w:r>
              <w:t xml:space="preserve">0%</w:t>
            </w:r>
          </w:p>
        </w:tc>
        <w:tc>
          <w:tcPr>
            <w:tcW w:w="1552" w:type="dxa"/>
          </w:tcPr>
          <w:p>
            <w:pPr/>
            <w:r>
              <w:t xml:space="preserve">99.9%</w:t>
            </w:r>
          </w:p>
        </w:tc>
        <w:tc>
          <w:tcPr>
            <w:tcW w:w="960" w:type="dxa"/>
          </w:tcPr>
          <w:p>
            <w:pPr/>
            <w:r>
              <w:t xml:space="preserve">있음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</w:t>
            </w:r>
          </w:p>
        </w:tc>
        <w:tc>
          <w:tcPr>
            <w:tcW w:w="1028" w:type="dxa"/>
          </w:tcPr>
          <w:p>
            <w:pPr/>
            <w:r>
              <w:t xml:space="preserve">68,519</w:t>
            </w:r>
          </w:p>
        </w:tc>
        <w:tc>
          <w:tcPr>
            <w:tcW w:w="896" w:type="dxa"/>
          </w:tcPr>
          <w:p>
            <w:pPr/>
            <w:r>
              <w:t xml:space="preserve">11.7%</w:t>
            </w:r>
          </w:p>
        </w:tc>
        <w:tc>
          <w:tcPr>
            <w:tcW w:w="1385" w:type="dxa"/>
          </w:tcPr>
          <w:p>
            <w:pPr/>
            <w:r>
              <w:t xml:space="preserve">31.2</w:t>
            </w:r>
          </w:p>
        </w:tc>
        <w:tc>
          <w:tcPr>
            <w:tcW w:w="1510" w:type="dxa"/>
          </w:tcPr>
          <w:p>
            <w:pPr/>
            <w:r>
              <w:t xml:space="preserve">99.9%</w:t>
            </w:r>
          </w:p>
        </w:tc>
        <w:tc>
          <w:tcPr>
            <w:tcW w:w="1307" w:type="dxa"/>
          </w:tcPr>
          <w:p>
            <w:pPr/>
            <w:r>
              <w:t xml:space="preserve">89%</w:t>
            </w:r>
          </w:p>
        </w:tc>
        <w:tc>
          <w:tcPr>
            <w:tcW w:w="1552" w:type="dxa"/>
          </w:tcPr>
          <w:p>
            <w:pPr/>
            <w:r>
              <w:t xml:space="preserve">5%</w:t>
            </w:r>
          </w:p>
        </w:tc>
        <w:tc>
          <w:tcPr>
            <w:tcW w:w="960" w:type="dxa"/>
          </w:tcPr>
          <w:p>
            <w:pPr/>
            <w:r>
              <w:t xml:space="preserve">일부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</w:t>
            </w:r>
          </w:p>
        </w:tc>
        <w:tc>
          <w:tcPr>
            <w:tcW w:w="1028" w:type="dxa"/>
          </w:tcPr>
          <w:p>
            <w:pPr/>
            <w:r>
              <w:t xml:space="preserve">37,699</w:t>
            </w:r>
          </w:p>
        </w:tc>
        <w:tc>
          <w:tcPr>
            <w:tcW w:w="896" w:type="dxa"/>
          </w:tcPr>
          <w:p>
            <w:pPr/>
            <w:r>
              <w:t xml:space="preserve">3.8%</w:t>
            </w:r>
          </w:p>
        </w:tc>
        <w:tc>
          <w:tcPr>
            <w:tcW w:w="1385" w:type="dxa"/>
          </w:tcPr>
          <w:p>
            <w:pPr/>
            <w:r>
              <w:t xml:space="preserve">125.0</w:t>
            </w:r>
          </w:p>
        </w:tc>
        <w:tc>
          <w:tcPr>
            <w:tcW w:w="1510" w:type="dxa"/>
          </w:tcPr>
          <w:p>
            <w:pPr/>
            <w:r>
              <w:t xml:space="preserve">0%</w:t>
            </w:r>
          </w:p>
        </w:tc>
        <w:tc>
          <w:tcPr>
            <w:tcW w:w="1307" w:type="dxa"/>
          </w:tcPr>
          <w:p>
            <w:pPr/>
            <w:r>
              <w:t xml:space="preserve">97%</w:t>
            </w:r>
          </w:p>
        </w:tc>
        <w:tc>
          <w:tcPr>
            <w:tcW w:w="1552" w:type="dxa"/>
          </w:tcPr>
          <w:p>
            <w:pPr/>
            <w:r>
              <w:t xml:space="preserve">99.9%</w:t>
            </w:r>
          </w:p>
        </w:tc>
        <w:tc>
          <w:tcPr>
            <w:tcW w:w="960" w:type="dxa"/>
          </w:tcPr>
          <w:p>
            <w:pPr/>
            <w:r>
              <w:t xml:space="preserve">없음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</w:t>
            </w:r>
          </w:p>
        </w:tc>
        <w:tc>
          <w:tcPr>
            <w:tcW w:w="1028" w:type="dxa"/>
          </w:tcPr>
          <w:p>
            <w:pPr/>
            <w:r>
              <w:t xml:space="preserve">33,024</w:t>
            </w:r>
          </w:p>
        </w:tc>
        <w:tc>
          <w:tcPr>
            <w:tcW w:w="896" w:type="dxa"/>
          </w:tcPr>
          <w:p>
            <w:pPr/>
            <w:r>
              <w:t xml:space="preserve">4.8%</w:t>
            </w:r>
          </w:p>
        </w:tc>
        <w:tc>
          <w:tcPr>
            <w:tcW w:w="1385" w:type="dxa"/>
          </w:tcPr>
          <w:p>
            <w:pPr/>
            <w:r>
              <w:t xml:space="preserve">50.0</w:t>
            </w:r>
          </w:p>
        </w:tc>
        <w:tc>
          <w:tcPr>
            <w:tcW w:w="1510" w:type="dxa"/>
          </w:tcPr>
          <w:p>
            <w:pPr/>
            <w:r>
              <w:t xml:space="preserve">0%</w:t>
            </w:r>
          </w:p>
        </w:tc>
        <w:tc>
          <w:tcPr>
            <w:tcW w:w="1307" w:type="dxa"/>
          </w:tcPr>
          <w:p>
            <w:pPr/>
            <w:r>
              <w:t xml:space="preserve">97%</w:t>
            </w:r>
          </w:p>
        </w:tc>
        <w:tc>
          <w:tcPr>
            <w:tcW w:w="1552" w:type="dxa"/>
          </w:tcPr>
          <w:p>
            <w:pPr/>
            <w:r>
              <w:t xml:space="preserve">99.7%</w:t>
            </w:r>
          </w:p>
        </w:tc>
        <w:tc>
          <w:tcPr>
            <w:tcW w:w="960" w:type="dxa"/>
          </w:tcPr>
          <w:p>
            <w:pPr/>
            <w:r>
              <w:t xml:space="preserve">없음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</w:t>
            </w:r>
          </w:p>
        </w:tc>
        <w:tc>
          <w:tcPr>
            <w:tcW w:w="1028" w:type="dxa"/>
          </w:tcPr>
          <w:p>
            <w:pPr/>
            <w:r>
              <w:t xml:space="preserve">11,628</w:t>
            </w:r>
          </w:p>
        </w:tc>
        <w:tc>
          <w:tcPr>
            <w:tcW w:w="896" w:type="dxa"/>
          </w:tcPr>
          <w:p>
            <w:pPr/>
            <w:r>
              <w:t xml:space="preserve">5.9%</w:t>
            </w:r>
          </w:p>
        </w:tc>
        <w:tc>
          <w:tcPr>
            <w:tcW w:w="1385" w:type="dxa"/>
          </w:tcPr>
          <w:p>
            <w:pPr/>
            <w:r>
              <w:t xml:space="preserve">35.0</w:t>
            </w:r>
          </w:p>
        </w:tc>
        <w:tc>
          <w:tcPr>
            <w:tcW w:w="1510" w:type="dxa"/>
          </w:tcPr>
          <w:p>
            <w:pPr/>
            <w:r>
              <w:t xml:space="preserve">0.4%</w:t>
            </w:r>
          </w:p>
        </w:tc>
        <w:tc>
          <w:tcPr>
            <w:tcW w:w="1307" w:type="dxa"/>
          </w:tcPr>
          <w:p>
            <w:pPr/>
            <w:r>
              <w:t xml:space="preserve">97%</w:t>
            </w:r>
          </w:p>
        </w:tc>
        <w:tc>
          <w:tcPr>
            <w:tcW w:w="1552" w:type="dxa"/>
          </w:tcPr>
          <w:p>
            <w:pPr/>
            <w:r>
              <w:t xml:space="preserve">98%</w:t>
            </w:r>
          </w:p>
        </w:tc>
        <w:tc>
          <w:tcPr>
            <w:tcW w:w="960" w:type="dxa"/>
          </w:tcPr>
          <w:p>
            <w:pPr/>
            <w:r>
              <w:t xml:space="preserve">없음</w:t>
            </w:r>
          </w:p>
        </w:tc>
      </w:tr>
    </w:tbl>
    <w:p>
      <w:pPr/>
      <w:r>
        <w:t xml:space="preserve">W는 기기 정보가 아예 없고, 대신 다른 유형에는 없는 항목(M 항목 등)을 가진다. C는 금액이 거의 모두 $32.36처럼 센트 단위이고, 청구지 주소가 95% 비어 있다. R, H, S는 금액이 25, 50, 100달러처럼 딱 떨어지고 가진 항목도 서로 같다. 즉 W와 C는 다른 유형과 많이 다르고, R·H·S는 서로 비슷하다.</w:t>
      </w:r>
    </w:p>
    <w:p>
      <w:pPr>
        <w:pStyle w:val="Heading3"/>
      </w:pPr>
      <w:r>
        <w:t xml:space="preserve">3.2 시간순 분할</w:t>
      </w:r>
    </w:p>
    <w:p>
      <w:pPr/>
      <w:r>
        <w:t xml:space="preserve">실제로는 과거 거래로 배운 모델이 앞으로의 거래를 판단한다. 이를 맞추기 위해 거래를 시간 순서대로 줄 세운 뒤, 앞의 60%는 학습용(train), 다음 20%는 설정을 고르는 용도(val), 마지막 20%는 최종 평가용(test)으로 나눴다. 무작위로 섞어 나누면 미래 거래를 미리 보고 배우는 셈이 되어 점수가 실제보다 좋게 나오므로 쓰지 않았다.</w:t>
      </w:r>
    </w:p>
    <w:p>
      <w:pPr/>
      <w:r>
        <w:t xml:space="preserve">표 2. 데이터 분할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3191"/>
        <w:gridCol w:w="1751"/>
        <w:gridCol w:w="1663"/>
        <w:gridCol w:w="1526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분할</w:t>
            </w:r>
          </w:p>
        </w:tc>
        <w:tc>
          <w:tcPr>
            <w:tcW w:w="3191" w:type="dxa"/>
            <w:shd w:val="clear" w:color="auto" w:fill="F2F2F2"/>
          </w:tcPr>
          <w:p>
            <w:pPr/>
            <w:r>
              <w:t xml:space="preserve">기간 (경과 일수)</w:t>
            </w:r>
          </w:p>
        </w:tc>
        <w:tc>
          <w:tcPr>
            <w:tcW w:w="1751" w:type="dxa"/>
            <w:shd w:val="clear" w:color="auto" w:fill="F2F2F2"/>
          </w:tcPr>
          <w:p>
            <w:pPr/>
            <w:r>
              <w:t xml:space="preserve">거래 수</w:t>
            </w:r>
          </w:p>
        </w:tc>
        <w:tc>
          <w:tcPr>
            <w:tcW w:w="1663" w:type="dxa"/>
            <w:shd w:val="clear" w:color="auto" w:fill="F2F2F2"/>
          </w:tcPr>
          <w:p>
            <w:pPr/>
            <w:r>
              <w:t xml:space="preserve">사기 수</w:t>
            </w:r>
          </w:p>
        </w:tc>
        <w:tc>
          <w:tcPr>
            <w:tcW w:w="1526" w:type="dxa"/>
            <w:shd w:val="clear" w:color="auto" w:fill="F2F2F2"/>
          </w:tcPr>
          <w:p>
            <w:pPr/>
            <w:r>
              <w:t xml:space="preserve">사기율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train</w:t>
            </w:r>
          </w:p>
        </w:tc>
        <w:tc>
          <w:tcPr>
            <w:tcW w:w="3191" w:type="dxa"/>
          </w:tcPr>
          <w:p>
            <w:pPr/>
            <w:r>
              <w:t xml:space="preserve">1~101일</w:t>
            </w:r>
          </w:p>
        </w:tc>
        <w:tc>
          <w:tcPr>
            <w:tcW w:w="1751" w:type="dxa"/>
          </w:tcPr>
          <w:p>
            <w:pPr/>
            <w:r>
              <w:t xml:space="preserve">354,324</w:t>
            </w:r>
          </w:p>
        </w:tc>
        <w:tc>
          <w:tcPr>
            <w:tcW w:w="1663" w:type="dxa"/>
          </w:tcPr>
          <w:p>
            <w:pPr/>
            <w:r>
              <w:t xml:space="preserve">11,988</w:t>
            </w:r>
          </w:p>
        </w:tc>
        <w:tc>
          <w:tcPr>
            <w:tcW w:w="1526" w:type="dxa"/>
          </w:tcPr>
          <w:p>
            <w:pPr/>
            <w:r>
              <w:t xml:space="preserve">3.38%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val</w:t>
            </w:r>
          </w:p>
        </w:tc>
        <w:tc>
          <w:tcPr>
            <w:tcW w:w="3191" w:type="dxa"/>
          </w:tcPr>
          <w:p>
            <w:pPr/>
            <w:r>
              <w:t xml:space="preserve">101~141일</w:t>
            </w:r>
          </w:p>
        </w:tc>
        <w:tc>
          <w:tcPr>
            <w:tcW w:w="1751" w:type="dxa"/>
          </w:tcPr>
          <w:p>
            <w:pPr/>
            <w:r>
              <w:t xml:space="preserve">118,108</w:t>
            </w:r>
          </w:p>
        </w:tc>
        <w:tc>
          <w:tcPr>
            <w:tcW w:w="1663" w:type="dxa"/>
          </w:tcPr>
          <w:p>
            <w:pPr/>
            <w:r>
              <w:t xml:space="preserve">4,611</w:t>
            </w:r>
          </w:p>
        </w:tc>
        <w:tc>
          <w:tcPr>
            <w:tcW w:w="1526" w:type="dxa"/>
          </w:tcPr>
          <w:p>
            <w:pPr/>
            <w:r>
              <w:t xml:space="preserve">3.90%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test</w:t>
            </w:r>
          </w:p>
        </w:tc>
        <w:tc>
          <w:tcPr>
            <w:tcW w:w="3191" w:type="dxa"/>
          </w:tcPr>
          <w:p>
            <w:pPr/>
            <w:r>
              <w:t xml:space="preserve">141~183일</w:t>
            </w:r>
          </w:p>
        </w:tc>
        <w:tc>
          <w:tcPr>
            <w:tcW w:w="1751" w:type="dxa"/>
          </w:tcPr>
          <w:p>
            <w:pPr/>
            <w:r>
              <w:t xml:space="preserve">118,108</w:t>
            </w:r>
          </w:p>
        </w:tc>
        <w:tc>
          <w:tcPr>
            <w:tcW w:w="1663" w:type="dxa"/>
          </w:tcPr>
          <w:p>
            <w:pPr/>
            <w:r>
              <w:t xml:space="preserve">4,064</w:t>
            </w:r>
          </w:p>
        </w:tc>
        <w:tc>
          <w:tcPr>
            <w:tcW w:w="1526" w:type="dxa"/>
          </w:tcPr>
          <w:p>
            <w:pPr/>
            <w:r>
              <w:t xml:space="preserve">3.44%</w:t>
            </w:r>
          </w:p>
        </w:tc>
      </w:tr>
    </w:tbl>
    <w:p>
      <w:pPr>
        <w:pStyle w:val="Heading3"/>
      </w:pPr>
      <w:r>
        <w:t xml:space="preserve">3.3 전처리</w:t>
      </w:r>
    </w:p>
    <w:p>
      <w:pPr/>
      <w:r>
        <w:t xml:space="preserve">값이 90% 이상 비어 있는 항목도 지우지 않았다. 값이 있는지 없는지 자체가 사기와 관련이 있었기 때문이다. 예를 들어 D7 항목은 값이 있을 때 사기 비율이 14.9%, 없을 때 2.7%였다. 결제 금액은 소수의 큰 금액에 치우쳐 있어 로그로 변환했고, 거래 시각 정보로 시간대와 요일을 만들었다.</w:t>
      </w:r>
    </w:p>
    <w:p>
      <w:pPr/>
      <w:r>
        <w:t xml:space="preserve">카드 종류나 이메일 도메인처럼 "종류"를 나타내는 항목 49개는 숫자 번호로 바꿨다. 모델이 글자를 계산할 수 없기 때문이다. 번호는 학습용 데이터에 처음 나온 순서대로 붙였고, 빈 값과 처음 보는 값은 0번으로 했다. 그리고 두 모델의 특성에 맞춰 데이터를 두 가지로 만들었다.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LightGBM용:</w:t>
      </w:r>
      <w:r>
        <w:t xml:space="preserve"> 빈 값을 그대로 두었다. LightGBM은 빈 값을 스스로 처리하고, "비어 있음" 자체를 단서로 쓸 수 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오토인코더용:</w:t>
      </w:r>
      <w:r>
        <w:t xml:space="preserve"> 오토인코더는 빈 값을 계산하지 못한다. 그래서 빈 값을 학습용 데이터의 중앙값으로 채우고, 대신 "원래 비어 있었음"을 표시하는 항목 33개를 추가했다. 값의 크기도 비슷한 범위로 맞췄다.</w:t>
      </w:r>
    </w:p>
    <w:p>
      <w:pPr/>
      <w:r>
        <w:t xml:space="preserve">번호표, 중앙값 같은 기준은 모두 학습용 데이터만 보고 정했다. 평가용 데이터의 정보가 학습에 섞이지 않게 하기 위해서다.</w:t>
      </w:r>
    </w:p>
    <w:p>
      <w:pPr>
        <w:pStyle w:val="Heading2"/>
      </w:pPr>
      <w:r>
        <w:t xml:space="preserve">4. 실험 설계</w:t>
      </w:r>
    </w:p>
    <w:p>
      <w:pPr/>
      <w:r>
        <w:t xml:space="preserve">실험의 핵심은 상품 유형 하나의 사기를 학습에서 일부러 빼고, 나중에 그 유형의 거래로 두 모델을 비교하는 것이다. 숨긴 사기의 정보가 학습, 모델 선택, 점수 결합 어느 단계에도 들어가지 않게 했다.</w:t>
      </w:r>
    </w:p>
    <w:p>
      <w:pPr>
        <w:pStyle w:val="Heading3"/>
      </w:pPr>
      <w:r>
        <w:t xml:space="preserve">4.1 미관측 유형 설정</w:t>
      </w:r>
    </w:p>
    <w:p>
      <w:pPr/>
      <w:r>
        <w:t xml:space="preserve">W, C, R, H, S를 차례로 "처음 보는 유형"(이하 미관측 유형)으로 정했다. 학습용 데이터에서 그 유형의 사기 거래만 빼고 정상 거래는 남겨, 현장에서 새 수법을 처음 만나는 상황을 흉내 냈다. 빠지는 학습용 사기는 W 5,155건(전체 사기의 43%), C 4,412건(37%), H 1,133건, R 909건, S 379건이다.</w:t>
      </w:r>
    </w:p>
    <w:p>
      <w:pPr>
        <w:pStyle w:val="Heading3"/>
      </w:pPr>
      <w:r>
        <w:t xml:space="preserve">4.2 모델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LightGBM:</w:t>
      </w:r>
      <w:r>
        <w:t xml:space="preserve"> 사기 기록을 보고 배우는 모델이다. 설정을 고르는 데이터(val)의 점수가 더 오르지 않으면 학습을 멈추게 해 외우기를 막았다. 종류가 20가지 이하인 항목만 "종류"로 다루게 했다. 종류가 너무 많은 항목(카드 코드 약 1만 종 등)까지 그렇게 하면 모델이 카드 번호를 통째로 외워 성능이 떨어졌다(val 점수 0.9334 대 0.9253).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오토인코더:</w:t>
      </w:r>
      <w:r>
        <w:t xml:space="preserve"> 학습용 데이터의 정상 거래 342,336건만으로 배웠다. 거래 정보를 16개의 숫자로 압축했다가 다시 복원하고, 복원이 얼마나 틀렸는지를 "이상 점수"로 썼다.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오토인코더를 멈추는 시점:</w:t>
      </w:r>
      <w:r>
        <w:t xml:space="preserve"> 사기 기록을 전혀 쓰지 않고, 정상 거래를 가장 잘 복원하는 시점에서 멈췄다. 그래서 오토인코더는 어떤 유형을 숨겼는지와 상관없이 똑같다. 실제로 멈춘 시점은 53, 32, 54번째 반복이었다.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비교 기준(상한선):</w:t>
      </w:r>
      <w:r>
        <w:t xml:space="preserve"> 모든 사기를 보고 배운 LightGBM이다. "숨긴 유형도 미리 봤다면 얼마나 잡았을까"를 보여 준다.</w:t>
      </w:r>
    </w:p>
    <w:p>
      <w:pPr>
        <w:pStyle w:val="Heading3"/>
      </w:pPr>
      <w:r>
        <w:t xml:space="preserve">4.3 결합 방식</w:t>
      </w:r>
    </w:p>
    <w:p>
      <w:pPr/>
      <w:r>
        <w:t xml:space="preserve">두 모델의 점수는 범위가 달라(확률과 복원 오차) 그대로 더할 수 없다. 그래서 각각을 등수(0~1)로 바꾼 뒤 일정 비율로 섞었다.</w:t>
      </w:r>
    </w:p>
    <w:p>
      <w:pPr>
        <w:pStyle w:val="Code"/>
      </w:pPr>
      <w:bookmarkStart w:id="1" w:name="bongo_lang_latex_1"/>
      <w:bookmarkEnd w:id="1"/>
      <w:r>
        <w:t xml:space="preserve">s_{hybrid} = (1 - w) \cdot r_{LightGBM} + w \cdot r_{AE}</w:t>
      </w:r>
    </w:p>
    <w:p>
      <w:pPr/>
      <w:r>
        <w:t xml:space="preserve">w는 오토인코더를 얼마나 반영할지를 나타낸다. w는 세 가지로 정했다. ① 숨긴 사기를 뺀 val 데이터에서 가장 좋은 값(tuned), ② 미리 정한 값 10%, 20%, 30%, 50%, ③ 두 등수 중 높은 쪽(max)이다. 본문에서는 w = 20%를 대표로 보여 주는데, 이 값은 사전 실험을 본 뒤 정한 것이라 다른 값의 결과도 함께 제시한다.</w:t>
      </w:r>
    </w:p>
    <w:p>
      <w:pPr>
        <w:pStyle w:val="Heading3"/>
      </w:pPr>
      <w:r>
        <w:t xml:space="preserve">4.4 지름길 제거</w:t>
      </w:r>
    </w:p>
    <w:p>
      <w:pPr/>
      <w:r>
        <w:t xml:space="preserve">어떤 유형의 사기를 빼면 학습용 데이터에는 그 유형의 정상 거래만 남는다. 그러면 LightGBM이 "이 상품 유형이면 무조건 정상"이라는 쉬운 규칙(지름길)을 배울 수 있다. 이를 막기 위해 본문의 결과는 상품 유형 항목(ProductCD)을 빼고 얻었다. 넣었을 때와의 비교는 부록 A에 실었다.</w:t>
      </w:r>
    </w:p>
    <w:p>
      <w:pPr>
        <w:pStyle w:val="Heading3"/>
      </w:pPr>
      <w:r>
        <w:t xml:space="preserve">4.5 평가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PR-AUC (주된 지표):</w:t>
      </w:r>
      <w:r>
        <w:t xml:space="preserve"> 사기를 정상 거래보다 얼마나 앞에 줄 세우는지를 나타내는 점수(0~1)다. 숨긴 유형의 평가용 거래만 모아 계산했다. 아무렇게나 줄 세우면 이 점수는 사기 비율과 같아지므로, 사기 비율의 몇 배인지도 함께 적었다.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이미 아는 유형의 PR-AUC:</w:t>
      </w:r>
      <w:r>
        <w:t xml:space="preserve"> 숨기지 않은 유형의 거래로 계산해, 오토인코더를 더해서 잃는 것을 확인했다.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검토량 기준 재현율·정밀도:</w:t>
      </w:r>
      <w:r>
        <w:t xml:space="preserve"> 전체 평가용 거래 중 점수 상위 1%, 5%, 10%만 사람이 검토한다고 가정했다. 재현율은 숨긴 유형의 사기 중 몇 %가 검토 대상에 들어갔는지, 정밀도는 검토 대상이 된 그 유형 거래 중 몇 %가 실제 사기였는지다.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반복과 통계 검정:</w:t>
      </w:r>
      <w:r>
        <w:t xml:space="preserve"> 우연의 영향을 줄이려고 모든 모델을 시작값(seed) 3가지로 학습했다. 또 평가용 거래를 1,000번 다시 뽑아 계산하는 방법(부트스트랩)으로 두 모델의 차이가 우연인지 확인했다[8]. 차이의 95% 신뢰구간이 0을 포함하지 않으면 "확실한 차이"로 보았다.</w:t>
      </w:r>
    </w:p>
    <w:p>
      <w:pPr>
        <w:pStyle w:val="Heading2"/>
      </w:pPr>
      <w:r>
        <w:t xml:space="preserve">5. 실험 결과</w:t>
      </w:r>
    </w:p>
    <w:p>
      <w:pPr/>
      <w:r>
        <w:t xml:space="preserve">오토인코더를 더한 모델(이하 하이브리드)은 미관측 유형 C와 W에서 확실히 더 나았고, R·H·S에서는 차이가 작거나 없었다. 아래 결과는 모두 상품 유형 항목(ProductCD)을 뺀 설정이다.</w:t>
      </w:r>
    </w:p>
    <w:p>
      <w:pPr>
        <w:pStyle w:val="Heading3"/>
      </w:pPr>
      <w:r>
        <w:t xml:space="preserve">5.1 미관측 유형의 순위화 성능</w:t>
      </w:r>
    </w:p>
    <w:p>
      <w:pPr/>
      <w:r>
        <w:t xml:space="preserve">표 3. 미관측 유형별 PR-AUC (괄호: 무작위 기준선 대비 배수, 하이브리드 w = 0.2, seed 3개 평균 점수)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8"/>
        <w:gridCol w:w="1305"/>
        <w:gridCol w:w="791"/>
        <w:gridCol w:w="1153"/>
        <w:gridCol w:w="1179"/>
        <w:gridCol w:w="1191"/>
        <w:gridCol w:w="1194"/>
        <w:gridCol w:w="2049"/>
      </w:tblGrid>
      <w:tr>
        <w:trPr>
          <w:tblHeader/>
        </w:trPr>
        <w:tc>
          <w:tcPr>
            <w:tcW w:w="498" w:type="dxa"/>
            <w:shd w:val="clear" w:color="auto" w:fill="F2F2F2"/>
          </w:tcPr>
          <w:p>
            <w:pPr/>
            <w:r>
              <w:t xml:space="preserve">미관측 유형</w:t>
            </w:r>
          </w:p>
        </w:tc>
        <w:tc>
          <w:tcPr>
            <w:tcW w:w="1305" w:type="dxa"/>
            <w:shd w:val="clear" w:color="auto" w:fill="F2F2F2"/>
          </w:tcPr>
          <w:p>
            <w:pPr/>
            <w:r>
              <w:t xml:space="preserve">test 거래 / 사기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기준선(사기율)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상한선</w:t>
            </w:r>
          </w:p>
        </w:tc>
        <w:tc>
          <w:tcPr>
            <w:tcW w:w="1179" w:type="dxa"/>
            <w:shd w:val="clear" w:color="auto" w:fill="F2F2F2"/>
          </w:tcPr>
          <w:p>
            <w:pPr/>
            <w:r>
              <w:t xml:space="preserve">오토인코더</w:t>
            </w:r>
          </w:p>
        </w:tc>
        <w:tc>
          <w:tcPr>
            <w:tcW w:w="1191" w:type="dxa"/>
            <w:shd w:val="clear" w:color="auto" w:fill="F2F2F2"/>
          </w:tcPr>
          <w:p>
            <w:pPr/>
            <w:r>
              <w:t xml:space="preserve">LightGBM</w:t>
            </w:r>
          </w:p>
        </w:tc>
        <w:tc>
          <w:tcPr>
            <w:tcW w:w="1194" w:type="dxa"/>
            <w:shd w:val="clear" w:color="auto" w:fill="F2F2F2"/>
          </w:tcPr>
          <w:p>
            <w:pPr/>
            <w:r>
              <w:t xml:space="preserve">하이브리드</w:t>
            </w:r>
          </w:p>
        </w:tc>
        <w:tc>
          <w:tcPr>
            <w:tcW w:w="2049" w:type="dxa"/>
            <w:shd w:val="clear" w:color="auto" w:fill="F2F2F2"/>
          </w:tcPr>
          <w:p>
            <w:pPr/>
            <w:r>
              <w:t xml:space="preserve">차이 [95% CI]</w:t>
            </w:r>
          </w:p>
        </w:tc>
      </w:tr>
      <w:tr>
        <w:tc>
          <w:tcPr>
            <w:tcW w:w="498" w:type="dxa"/>
          </w:tcPr>
          <w:p>
            <w:pPr/>
            <w:r>
              <w:t xml:space="preserve">W</w:t>
            </w:r>
          </w:p>
        </w:tc>
        <w:tc>
          <w:tcPr>
            <w:tcW w:w="1305" w:type="dxa"/>
          </w:tcPr>
          <w:p>
            <w:pPr/>
            <w:r>
              <w:t xml:space="preserve">93,669 / 1,810</w:t>
            </w:r>
          </w:p>
        </w:tc>
        <w:tc>
          <w:tcPr>
            <w:tcW w:w="791" w:type="dxa"/>
          </w:tcPr>
          <w:p>
            <w:pPr/>
            <w:r>
              <w:t xml:space="preserve">0.019</w:t>
            </w:r>
          </w:p>
        </w:tc>
        <w:tc>
          <w:tcPr>
            <w:tcW w:w="1153" w:type="dxa"/>
          </w:tcPr>
          <w:p>
            <w:pPr/>
            <w:r>
              <w:t xml:space="preserve">0.155 (8.0x)</w:t>
            </w:r>
          </w:p>
        </w:tc>
        <w:tc>
          <w:tcPr>
            <w:tcW w:w="1179" w:type="dxa"/>
          </w:tcPr>
          <w:p>
            <w:pPr/>
            <w:r>
              <w:t xml:space="preserve">0.047 (2.4x)</w:t>
            </w:r>
          </w:p>
        </w:tc>
        <w:tc>
          <w:tcPr>
            <w:tcW w:w="1191" w:type="dxa"/>
          </w:tcPr>
          <w:p>
            <w:pPr/>
            <w:r>
              <w:t xml:space="preserve">0.022 (1.1x)</w:t>
            </w:r>
          </w:p>
        </w:tc>
        <w:tc>
          <w:tcPr>
            <w:tcW w:w="1194" w:type="dxa"/>
          </w:tcPr>
          <w:p>
            <w:pPr/>
            <w:r>
              <w:t xml:space="preserve">0.027 (1.4x)</w:t>
            </w:r>
          </w:p>
        </w:tc>
        <w:tc>
          <w:tcPr>
            <w:tcW w:w="2049" w:type="dxa"/>
          </w:tcPr>
          <w:p>
            <w:pPr/>
            <w:r>
              <w:t xml:space="preserve">+0.005 [+0.004, +0.006]</w:t>
            </w:r>
          </w:p>
        </w:tc>
      </w:tr>
      <w:tr>
        <w:tc>
          <w:tcPr>
            <w:tcW w:w="498" w:type="dxa"/>
          </w:tcPr>
          <w:p>
            <w:pPr/>
            <w:r>
              <w:t xml:space="preserve">C</w:t>
            </w:r>
          </w:p>
        </w:tc>
        <w:tc>
          <w:tcPr>
            <w:tcW w:w="1305" w:type="dxa"/>
          </w:tcPr>
          <w:p>
            <w:pPr/>
            <w:r>
              <w:t xml:space="preserve">12,109 / 1,617</w:t>
            </w:r>
          </w:p>
        </w:tc>
        <w:tc>
          <w:tcPr>
            <w:tcW w:w="791" w:type="dxa"/>
          </w:tcPr>
          <w:p>
            <w:pPr/>
            <w:r>
              <w:t xml:space="preserve">0.134</w:t>
            </w:r>
          </w:p>
        </w:tc>
        <w:tc>
          <w:tcPr>
            <w:tcW w:w="1153" w:type="dxa"/>
          </w:tcPr>
          <w:p>
            <w:pPr/>
            <w:r>
              <w:t xml:space="preserve">0.757 (5.7x)</w:t>
            </w:r>
          </w:p>
        </w:tc>
        <w:tc>
          <w:tcPr>
            <w:tcW w:w="1179" w:type="dxa"/>
          </w:tcPr>
          <w:p>
            <w:pPr/>
            <w:r>
              <w:t xml:space="preserve">0.347 (2.6x)</w:t>
            </w:r>
          </w:p>
        </w:tc>
        <w:tc>
          <w:tcPr>
            <w:tcW w:w="1191" w:type="dxa"/>
          </w:tcPr>
          <w:p>
            <w:pPr/>
            <w:r>
              <w:t xml:space="preserve">0.321 (2.4x)</w:t>
            </w:r>
          </w:p>
        </w:tc>
        <w:tc>
          <w:tcPr>
            <w:tcW w:w="1194" w:type="dxa"/>
          </w:tcPr>
          <w:p>
            <w:pPr/>
            <w:r>
              <w:rPr>
                <w:b/>
              </w:rPr>
              <w:t xml:space="preserve">0.395 (3.0x)</w:t>
            </w:r>
          </w:p>
        </w:tc>
        <w:tc>
          <w:tcPr>
            <w:tcW w:w="2049" w:type="dxa"/>
          </w:tcPr>
          <w:p>
            <w:pPr/>
            <w:r>
              <w:rPr>
                <w:b/>
              </w:rPr>
              <w:t xml:space="preserve">+0.074 [+0.064, +0.083]</w:t>
            </w:r>
          </w:p>
        </w:tc>
      </w:tr>
      <w:tr>
        <w:tc>
          <w:tcPr>
            <w:tcW w:w="498" w:type="dxa"/>
          </w:tcPr>
          <w:p>
            <w:pPr/>
            <w:r>
              <w:t xml:space="preserve">R</w:t>
            </w:r>
          </w:p>
        </w:tc>
        <w:tc>
          <w:tcPr>
            <w:tcW w:w="1305" w:type="dxa"/>
          </w:tcPr>
          <w:p>
            <w:pPr/>
            <w:r>
              <w:t xml:space="preserve">5,496 / 257</w:t>
            </w:r>
          </w:p>
        </w:tc>
        <w:tc>
          <w:tcPr>
            <w:tcW w:w="791" w:type="dxa"/>
          </w:tcPr>
          <w:p>
            <w:pPr/>
            <w:r>
              <w:t xml:space="preserve">0.047</w:t>
            </w:r>
          </w:p>
        </w:tc>
        <w:tc>
          <w:tcPr>
            <w:tcW w:w="1153" w:type="dxa"/>
          </w:tcPr>
          <w:p>
            <w:pPr/>
            <w:r>
              <w:t xml:space="preserve">0.825 (17.6x)</w:t>
            </w:r>
          </w:p>
        </w:tc>
        <w:tc>
          <w:tcPr>
            <w:tcW w:w="1179" w:type="dxa"/>
          </w:tcPr>
          <w:p>
            <w:pPr/>
            <w:r>
              <w:t xml:space="preserve">0.268 (5.7x)</w:t>
            </w:r>
          </w:p>
        </w:tc>
        <w:tc>
          <w:tcPr>
            <w:tcW w:w="1191" w:type="dxa"/>
          </w:tcPr>
          <w:p>
            <w:pPr/>
            <w:r>
              <w:t xml:space="preserve">0.704 (15.1x)</w:t>
            </w:r>
          </w:p>
        </w:tc>
        <w:tc>
          <w:tcPr>
            <w:tcW w:w="1194" w:type="dxa"/>
          </w:tcPr>
          <w:p>
            <w:pPr/>
            <w:r>
              <w:t xml:space="preserve">0.718 (15.4x)</w:t>
            </w:r>
          </w:p>
        </w:tc>
        <w:tc>
          <w:tcPr>
            <w:tcW w:w="2049" w:type="dxa"/>
          </w:tcPr>
          <w:p>
            <w:pPr/>
            <w:r>
              <w:t xml:space="preserve">+0.014 [+0.003, +0.027]</w:t>
            </w:r>
          </w:p>
        </w:tc>
      </w:tr>
      <w:tr>
        <w:tc>
          <w:tcPr>
            <w:tcW w:w="498" w:type="dxa"/>
          </w:tcPr>
          <w:p>
            <w:pPr/>
            <w:r>
              <w:t xml:space="preserve">H</w:t>
            </w:r>
          </w:p>
        </w:tc>
        <w:tc>
          <w:tcPr>
            <w:tcW w:w="1305" w:type="dxa"/>
          </w:tcPr>
          <w:p>
            <w:pPr/>
            <w:r>
              <w:t xml:space="preserve">3,333 / 197</w:t>
            </w:r>
          </w:p>
        </w:tc>
        <w:tc>
          <w:tcPr>
            <w:tcW w:w="791" w:type="dxa"/>
          </w:tcPr>
          <w:p>
            <w:pPr/>
            <w:r>
              <w:t xml:space="preserve">0.059</w:t>
            </w:r>
          </w:p>
        </w:tc>
        <w:tc>
          <w:tcPr>
            <w:tcW w:w="1153" w:type="dxa"/>
          </w:tcPr>
          <w:p>
            <w:pPr/>
            <w:r>
              <w:t xml:space="preserve">0.601 (10.2x)</w:t>
            </w:r>
          </w:p>
        </w:tc>
        <w:tc>
          <w:tcPr>
            <w:tcW w:w="1179" w:type="dxa"/>
          </w:tcPr>
          <w:p>
            <w:pPr/>
            <w:r>
              <w:t xml:space="preserve">0.151 (2.6x)</w:t>
            </w:r>
          </w:p>
        </w:tc>
        <w:tc>
          <w:tcPr>
            <w:tcW w:w="1191" w:type="dxa"/>
          </w:tcPr>
          <w:p>
            <w:pPr/>
            <w:r>
              <w:t xml:space="preserve">0.528 (8.9x)</w:t>
            </w:r>
          </w:p>
        </w:tc>
        <w:tc>
          <w:tcPr>
            <w:tcW w:w="1194" w:type="dxa"/>
          </w:tcPr>
          <w:p>
            <w:pPr/>
            <w:r>
              <w:t xml:space="preserve">0.519 (8.8x)</w:t>
            </w:r>
          </w:p>
        </w:tc>
        <w:tc>
          <w:tcPr>
            <w:tcW w:w="2049" w:type="dxa"/>
          </w:tcPr>
          <w:p>
            <w:pPr/>
            <w:r>
              <w:t xml:space="preserve">−0.009 [−0.017, −0.001]</w:t>
            </w:r>
          </w:p>
        </w:tc>
      </w:tr>
      <w:tr>
        <w:tc>
          <w:tcPr>
            <w:tcW w:w="498" w:type="dxa"/>
          </w:tcPr>
          <w:p>
            <w:pPr/>
            <w:r>
              <w:t xml:space="preserve">S</w:t>
            </w:r>
          </w:p>
        </w:tc>
        <w:tc>
          <w:tcPr>
            <w:tcW w:w="1305" w:type="dxa"/>
          </w:tcPr>
          <w:p>
            <w:pPr/>
            <w:r>
              <w:t xml:space="preserve">3,501 / 183</w:t>
            </w:r>
          </w:p>
        </w:tc>
        <w:tc>
          <w:tcPr>
            <w:tcW w:w="791" w:type="dxa"/>
          </w:tcPr>
          <w:p>
            <w:pPr/>
            <w:r>
              <w:t xml:space="preserve">0.052</w:t>
            </w:r>
          </w:p>
        </w:tc>
        <w:tc>
          <w:tcPr>
            <w:tcW w:w="1153" w:type="dxa"/>
          </w:tcPr>
          <w:p>
            <w:pPr/>
            <w:r>
              <w:t xml:space="preserve">0.506 (9.7x)</w:t>
            </w:r>
          </w:p>
        </w:tc>
        <w:tc>
          <w:tcPr>
            <w:tcW w:w="1179" w:type="dxa"/>
          </w:tcPr>
          <w:p>
            <w:pPr/>
            <w:r>
              <w:t xml:space="preserve">0.044 (0.8x)</w:t>
            </w:r>
          </w:p>
        </w:tc>
        <w:tc>
          <w:tcPr>
            <w:tcW w:w="1191" w:type="dxa"/>
          </w:tcPr>
          <w:p>
            <w:pPr/>
            <w:r>
              <w:t xml:space="preserve">0.397 (7.6x)</w:t>
            </w:r>
          </w:p>
        </w:tc>
        <w:tc>
          <w:tcPr>
            <w:tcW w:w="1194" w:type="dxa"/>
          </w:tcPr>
          <w:p>
            <w:pPr/>
            <w:r>
              <w:t xml:space="preserve">0.399 (7.6x)</w:t>
            </w:r>
          </w:p>
        </w:tc>
        <w:tc>
          <w:tcPr>
            <w:tcW w:w="2049" w:type="dxa"/>
          </w:tcPr>
          <w:p>
            <w:pPr/>
            <w:r>
              <w:t xml:space="preserve">+0.001 [−0.004, +0.007]</w:t>
            </w:r>
          </w:p>
        </w:tc>
      </w:tr>
    </w:tbl>
    <w:p>
      <w:pPr/>
      <w:r>
        <w:t xml:space="preserve">C에서는 오토인코더 혼자서도(0.347) LightGBM(0.321)보다 나았고, 둘을 합친 하이브리드(0.395)는 둘보다 모두 나았다. W는 모든 모델의 점수가 낮지만 좋아지는 방향은 같았다. 반면 R과 H는 사기를 숨겼는데도 LightGBM이 상한선의 85~88%를 내, 오토인코더가 도울 여지가 거의 없었다.</w:t>
      </w:r>
    </w:p>
    <w:p>
      <w:pPr/>
      <w:r>
        <w:t xml:space="preserve">val 데이터로 고른 w(tuned)는 15번 모두 0~5%였다. val에는 이미 아는 유형의 사기만 남아 있어서, 오토인코더가 필요 없어 보이기 때문이다. 즉 처음 보는 사기를 위한 비율은 이미 아는 데이터로는 정할 수 없다. 두 등수 중 높은 쪽을 쓰는 방식(max)은 모든 유형에서 LightGBM보다 크게 나빴다.</w:t>
      </w:r>
    </w:p>
    <w:p>
      <w:pPr>
        <w:pStyle w:val="Heading3"/>
      </w:pPr>
      <w:r>
        <w:t xml:space="preserve">5.2 관측 유형 성능과의 교환 관계</w:t>
      </w:r>
    </w:p>
    <w:p>
      <w:pPr/>
      <w:r>
        <w:t xml:space="preserve">오토인코더를 많이 반영할수록 이미 아는 유형의 점수는 계속 떨어졌고, 처음 보는 유형의 점수는 w = 10~20%에서 더 오르지 않았다(그림 1). w = 20%일 때 처음 보는 유형의 평균은 0.018 오른 반면, 이미 아는 유형의 평균은 0.052 떨어졌다. 얻는 것보다 잃는 것이 더 컸다.</w:t>
      </w:r>
    </w:p>
    <w:p>
      <w:pPr/>
      <w:r>
        <w:drawing>
          <wp:inline distT="0" distB="0" distL="0" distR="0">
            <wp:extent cx="5486400" cy="2824842"/>
            <wp:docPr id="1" name="image1" descr="그림 1. 오토인코더 비중에 따른 미관측·관측 유형 PR-AUC · experiment_unseen.py 결과(unseen_results.csv), 유형 5개 × seed 3개 평균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그림 1. 오토인코더 비중에 따른 미관측·관측 유형 PR-AUC · experiment_unseen.py 결과(unseen_results.csv), 유형 5개 × seed 3개 평균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그림 1. 오토인코더 비중에 따른 미관측·관측 유형 PR-AUC · experiment_unseen.py 결과(unseen_results.csv), 유형 5개 × seed 3개 평균</w:t>
      </w:r>
    </w:p>
    <w:p>
      <w:pPr/>
      <w:r>
        <w:t xml:space="preserve">파란 선(처음 보는 유형)은 거의 평평하지만, 회색 선(이미 아는 유형)은 w가 커질수록 계속 내려간다.</w:t>
      </w:r>
    </w:p>
    <w:p>
      <w:pPr>
        <w:pStyle w:val="Heading3"/>
      </w:pPr>
      <w:r>
        <w:t xml:space="preserve">5.3 검토량 기준의 탐지</w:t>
      </w:r>
    </w:p>
    <w:p>
      <w:pPr/>
      <w:r>
        <w:t xml:space="preserve">평가용 거래 전체에서 점수 상위 10%(11,811건)만 검토한다고 하면, 하이브리드는 C와 W의 숨긴 사기를 하나도 검토 대상에 올리지 못했다.</w:t>
      </w:r>
    </w:p>
    <w:p>
      <w:pPr/>
      <w:r>
        <w:t xml:space="preserve">표 4. 전체 거래 상위 10% 검토 시 미관측 유형의 탐지 (seed 3개 평균)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55"/>
        <w:gridCol w:w="1844"/>
        <w:gridCol w:w="3085"/>
        <w:gridCol w:w="1237"/>
        <w:gridCol w:w="1237"/>
      </w:tblGrid>
      <w:tr>
        <w:trPr>
          <w:tblHeader/>
        </w:trPr>
        <w:tc>
          <w:tcPr>
            <w:tcW w:w="1955" w:type="dxa"/>
            <w:shd w:val="clear" w:color="auto" w:fill="F2F2F2"/>
          </w:tcPr>
          <w:p>
            <w:pPr/>
            <w:r>
              <w:t xml:space="preserve">미관측 유형</w:t>
            </w:r>
          </w:p>
        </w:tc>
        <w:tc>
          <w:tcPr>
            <w:tcW w:w="1844" w:type="dxa"/>
            <w:shd w:val="clear" w:color="auto" w:fill="F2F2F2"/>
          </w:tcPr>
          <w:p>
            <w:pPr/>
            <w:r>
              <w:t xml:space="preserve">모델</w:t>
            </w:r>
          </w:p>
        </w:tc>
        <w:tc>
          <w:tcPr>
            <w:tcW w:w="3085" w:type="dxa"/>
            <w:shd w:val="clear" w:color="auto" w:fill="F2F2F2"/>
          </w:tcPr>
          <w:p>
            <w:pPr/>
            <w:r>
              <w:t xml:space="preserve">검토된 그 유형 거래</w:t>
            </w:r>
          </w:p>
        </w:tc>
        <w:tc>
          <w:tcPr>
            <w:tcW w:w="1237" w:type="dxa"/>
            <w:shd w:val="clear" w:color="auto" w:fill="F2F2F2"/>
          </w:tcPr>
          <w:p>
            <w:pPr/>
            <w:r>
              <w:t xml:space="preserve">재현율</w:t>
            </w:r>
          </w:p>
        </w:tc>
        <w:tc>
          <w:tcPr>
            <w:tcW w:w="1237" w:type="dxa"/>
            <w:shd w:val="clear" w:color="auto" w:fill="F2F2F2"/>
          </w:tcPr>
          <w:p>
            <w:pPr/>
            <w:r>
              <w:t xml:space="preserve">정밀도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C</w:t>
            </w:r>
          </w:p>
        </w:tc>
        <w:tc>
          <w:tcPr>
            <w:tcW w:w="1844" w:type="dxa"/>
          </w:tcPr>
          <w:p>
            <w:pPr/>
            <w:r>
              <w:t xml:space="preserve">LightGBM</w:t>
            </w:r>
          </w:p>
        </w:tc>
        <w:tc>
          <w:tcPr>
            <w:tcW w:w="3085" w:type="dxa"/>
          </w:tcPr>
          <w:p>
            <w:pPr/>
            <w:r>
              <w:t xml:space="preserve">1건</w:t>
            </w:r>
          </w:p>
        </w:tc>
        <w:tc>
          <w:tcPr>
            <w:tcW w:w="1237" w:type="dxa"/>
          </w:tcPr>
          <w:p>
            <w:pPr/>
            <w:r>
              <w:t xml:space="preserve">0%</w:t>
            </w:r>
          </w:p>
        </w:tc>
        <w:tc>
          <w:tcPr>
            <w:tcW w:w="1237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C</w:t>
            </w:r>
          </w:p>
        </w:tc>
        <w:tc>
          <w:tcPr>
            <w:tcW w:w="1844" w:type="dxa"/>
          </w:tcPr>
          <w:p>
            <w:pPr/>
            <w:r>
              <w:t xml:space="preserve">하이브리드</w:t>
            </w:r>
          </w:p>
        </w:tc>
        <w:tc>
          <w:tcPr>
            <w:tcW w:w="3085" w:type="dxa"/>
          </w:tcPr>
          <w:p>
            <w:pPr/>
            <w:r>
              <w:t xml:space="preserve">4건</w:t>
            </w:r>
          </w:p>
        </w:tc>
        <w:tc>
          <w:tcPr>
            <w:tcW w:w="1237" w:type="dxa"/>
          </w:tcPr>
          <w:p>
            <w:pPr/>
            <w:r>
              <w:t xml:space="preserve">0%</w:t>
            </w:r>
          </w:p>
        </w:tc>
        <w:tc>
          <w:tcPr>
            <w:tcW w:w="1237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C</w:t>
            </w:r>
          </w:p>
        </w:tc>
        <w:tc>
          <w:tcPr>
            <w:tcW w:w="1844" w:type="dxa"/>
          </w:tcPr>
          <w:p>
            <w:pPr/>
            <w:r>
              <w:t xml:space="preserve">오토인코더</w:t>
            </w:r>
          </w:p>
        </w:tc>
        <w:tc>
          <w:tcPr>
            <w:tcW w:w="3085" w:type="dxa"/>
          </w:tcPr>
          <w:p>
            <w:pPr/>
            <w:r>
              <w:t xml:space="preserve">4,029건</w:t>
            </w:r>
          </w:p>
        </w:tc>
        <w:tc>
          <w:tcPr>
            <w:tcW w:w="1237" w:type="dxa"/>
          </w:tcPr>
          <w:p>
            <w:pPr/>
            <w:r>
              <w:t xml:space="preserve">71.2%</w:t>
            </w:r>
          </w:p>
        </w:tc>
        <w:tc>
          <w:tcPr>
            <w:tcW w:w="1237" w:type="dxa"/>
          </w:tcPr>
          <w:p>
            <w:pPr/>
            <w:r>
              <w:t xml:space="preserve">28.6%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W</w:t>
            </w:r>
          </w:p>
        </w:tc>
        <w:tc>
          <w:tcPr>
            <w:tcW w:w="1844" w:type="dxa"/>
          </w:tcPr>
          <w:p>
            <w:pPr/>
            <w:r>
              <w:t xml:space="preserve">LightGBM</w:t>
            </w:r>
          </w:p>
        </w:tc>
        <w:tc>
          <w:tcPr>
            <w:tcW w:w="3085" w:type="dxa"/>
          </w:tcPr>
          <w:p>
            <w:pPr/>
            <w:r>
              <w:t xml:space="preserve">2건</w:t>
            </w:r>
          </w:p>
        </w:tc>
        <w:tc>
          <w:tcPr>
            <w:tcW w:w="1237" w:type="dxa"/>
          </w:tcPr>
          <w:p>
            <w:pPr/>
            <w:r>
              <w:t xml:space="preserve">0%</w:t>
            </w:r>
          </w:p>
        </w:tc>
        <w:tc>
          <w:tcPr>
            <w:tcW w:w="1237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W</w:t>
            </w:r>
          </w:p>
        </w:tc>
        <w:tc>
          <w:tcPr>
            <w:tcW w:w="1844" w:type="dxa"/>
          </w:tcPr>
          <w:p>
            <w:pPr/>
            <w:r>
              <w:t xml:space="preserve">하이브리드</w:t>
            </w:r>
          </w:p>
        </w:tc>
        <w:tc>
          <w:tcPr>
            <w:tcW w:w="3085" w:type="dxa"/>
          </w:tcPr>
          <w:p>
            <w:pPr/>
            <w:r>
              <w:t xml:space="preserve">15건</w:t>
            </w:r>
          </w:p>
        </w:tc>
        <w:tc>
          <w:tcPr>
            <w:tcW w:w="1237" w:type="dxa"/>
          </w:tcPr>
          <w:p>
            <w:pPr/>
            <w:r>
              <w:t xml:space="preserve">0%</w:t>
            </w:r>
          </w:p>
        </w:tc>
        <w:tc>
          <w:tcPr>
            <w:tcW w:w="1237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W</w:t>
            </w:r>
          </w:p>
        </w:tc>
        <w:tc>
          <w:tcPr>
            <w:tcW w:w="1844" w:type="dxa"/>
          </w:tcPr>
          <w:p>
            <w:pPr/>
            <w:r>
              <w:t xml:space="preserve">오토인코더</w:t>
            </w:r>
          </w:p>
        </w:tc>
        <w:tc>
          <w:tcPr>
            <w:tcW w:w="3085" w:type="dxa"/>
          </w:tcPr>
          <w:p>
            <w:pPr/>
            <w:r>
              <w:t xml:space="preserve">2,957건</w:t>
            </w:r>
          </w:p>
        </w:tc>
        <w:tc>
          <w:tcPr>
            <w:tcW w:w="1237" w:type="dxa"/>
          </w:tcPr>
          <w:p>
            <w:pPr/>
            <w:r>
              <w:t xml:space="preserve">11.7%</w:t>
            </w:r>
          </w:p>
        </w:tc>
        <w:tc>
          <w:tcPr>
            <w:tcW w:w="1237" w:type="dxa"/>
          </w:tcPr>
          <w:p>
            <w:pPr/>
            <w:r>
              <w:t xml:space="preserve">7.2%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R</w:t>
            </w:r>
          </w:p>
        </w:tc>
        <w:tc>
          <w:tcPr>
            <w:tcW w:w="1844" w:type="dxa"/>
          </w:tcPr>
          <w:p>
            <w:pPr/>
            <w:r>
              <w:t xml:space="preserve">LightGBM</w:t>
            </w:r>
          </w:p>
        </w:tc>
        <w:tc>
          <w:tcPr>
            <w:tcW w:w="3085" w:type="dxa"/>
          </w:tcPr>
          <w:p>
            <w:pPr/>
            <w:r>
              <w:t xml:space="preserve">213건</w:t>
            </w:r>
          </w:p>
        </w:tc>
        <w:tc>
          <w:tcPr>
            <w:tcW w:w="1237" w:type="dxa"/>
          </w:tcPr>
          <w:p>
            <w:pPr/>
            <w:r>
              <w:t xml:space="preserve">57.8%</w:t>
            </w:r>
          </w:p>
        </w:tc>
        <w:tc>
          <w:tcPr>
            <w:tcW w:w="1237" w:type="dxa"/>
          </w:tcPr>
          <w:p>
            <w:pPr/>
            <w:r>
              <w:t xml:space="preserve">69.9%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R</w:t>
            </w:r>
          </w:p>
        </w:tc>
        <w:tc>
          <w:tcPr>
            <w:tcW w:w="1844" w:type="dxa"/>
          </w:tcPr>
          <w:p>
            <w:pPr/>
            <w:r>
              <w:t xml:space="preserve">하이브리드</w:t>
            </w:r>
          </w:p>
        </w:tc>
        <w:tc>
          <w:tcPr>
            <w:tcW w:w="3085" w:type="dxa"/>
          </w:tcPr>
          <w:p>
            <w:pPr/>
            <w:r>
              <w:t xml:space="preserve">242건</w:t>
            </w:r>
          </w:p>
        </w:tc>
        <w:tc>
          <w:tcPr>
            <w:tcW w:w="1237" w:type="dxa"/>
          </w:tcPr>
          <w:p>
            <w:pPr/>
            <w:r>
              <w:t xml:space="preserve">62.9%</w:t>
            </w:r>
          </w:p>
        </w:tc>
        <w:tc>
          <w:tcPr>
            <w:tcW w:w="1237" w:type="dxa"/>
          </w:tcPr>
          <w:p>
            <w:pPr/>
            <w:r>
              <w:t xml:space="preserve">66.7%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H</w:t>
            </w:r>
          </w:p>
        </w:tc>
        <w:tc>
          <w:tcPr>
            <w:tcW w:w="1844" w:type="dxa"/>
          </w:tcPr>
          <w:p>
            <w:pPr/>
            <w:r>
              <w:t xml:space="preserve">LightGBM</w:t>
            </w:r>
          </w:p>
        </w:tc>
        <w:tc>
          <w:tcPr>
            <w:tcW w:w="3085" w:type="dxa"/>
          </w:tcPr>
          <w:p>
            <w:pPr/>
            <w:r>
              <w:t xml:space="preserve">110건</w:t>
            </w:r>
          </w:p>
        </w:tc>
        <w:tc>
          <w:tcPr>
            <w:tcW w:w="1237" w:type="dxa"/>
          </w:tcPr>
          <w:p>
            <w:pPr/>
            <w:r>
              <w:t xml:space="preserve">37.9%</w:t>
            </w:r>
          </w:p>
        </w:tc>
        <w:tc>
          <w:tcPr>
            <w:tcW w:w="1237" w:type="dxa"/>
          </w:tcPr>
          <w:p>
            <w:pPr/>
            <w:r>
              <w:t xml:space="preserve">68.1%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H</w:t>
            </w:r>
          </w:p>
        </w:tc>
        <w:tc>
          <w:tcPr>
            <w:tcW w:w="1844" w:type="dxa"/>
          </w:tcPr>
          <w:p>
            <w:pPr/>
            <w:r>
              <w:t xml:space="preserve">하이브리드</w:t>
            </w:r>
          </w:p>
        </w:tc>
        <w:tc>
          <w:tcPr>
            <w:tcW w:w="3085" w:type="dxa"/>
          </w:tcPr>
          <w:p>
            <w:pPr/>
            <w:r>
              <w:t xml:space="preserve">148건</w:t>
            </w:r>
          </w:p>
        </w:tc>
        <w:tc>
          <w:tcPr>
            <w:tcW w:w="1237" w:type="dxa"/>
          </w:tcPr>
          <w:p>
            <w:pPr/>
            <w:r>
              <w:t xml:space="preserve">42.3%</w:t>
            </w:r>
          </w:p>
        </w:tc>
        <w:tc>
          <w:tcPr>
            <w:tcW w:w="1237" w:type="dxa"/>
          </w:tcPr>
          <w:p>
            <w:pPr/>
            <w:r>
              <w:t xml:space="preserve">56.3%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S</w:t>
            </w:r>
          </w:p>
        </w:tc>
        <w:tc>
          <w:tcPr>
            <w:tcW w:w="1844" w:type="dxa"/>
          </w:tcPr>
          <w:p>
            <w:pPr/>
            <w:r>
              <w:t xml:space="preserve">LightGBM</w:t>
            </w:r>
          </w:p>
        </w:tc>
        <w:tc>
          <w:tcPr>
            <w:tcW w:w="3085" w:type="dxa"/>
          </w:tcPr>
          <w:p>
            <w:pPr/>
            <w:r>
              <w:t xml:space="preserve">64건</w:t>
            </w:r>
          </w:p>
        </w:tc>
        <w:tc>
          <w:tcPr>
            <w:tcW w:w="1237" w:type="dxa"/>
          </w:tcPr>
          <w:p>
            <w:pPr/>
            <w:r>
              <w:t xml:space="preserve">28.6%</w:t>
            </w:r>
          </w:p>
        </w:tc>
        <w:tc>
          <w:tcPr>
            <w:tcW w:w="1237" w:type="dxa"/>
          </w:tcPr>
          <w:p>
            <w:pPr/>
            <w:r>
              <w:t xml:space="preserve">81.9%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S</w:t>
            </w:r>
          </w:p>
        </w:tc>
        <w:tc>
          <w:tcPr>
            <w:tcW w:w="1844" w:type="dxa"/>
          </w:tcPr>
          <w:p>
            <w:pPr/>
            <w:r>
              <w:t xml:space="preserve">하이브리드</w:t>
            </w:r>
          </w:p>
        </w:tc>
        <w:tc>
          <w:tcPr>
            <w:tcW w:w="3085" w:type="dxa"/>
          </w:tcPr>
          <w:p>
            <w:pPr/>
            <w:r>
              <w:t xml:space="preserve">92건</w:t>
            </w:r>
          </w:p>
        </w:tc>
        <w:tc>
          <w:tcPr>
            <w:tcW w:w="1237" w:type="dxa"/>
          </w:tcPr>
          <w:p>
            <w:pPr/>
            <w:r>
              <w:t xml:space="preserve">33.2%</w:t>
            </w:r>
          </w:p>
        </w:tc>
        <w:tc>
          <w:tcPr>
            <w:tcW w:w="1237" w:type="dxa"/>
          </w:tcPr>
          <w:p>
            <w:pPr/>
            <w:r>
              <w:t xml:space="preserve">66.4%</w:t>
            </w:r>
          </w:p>
        </w:tc>
      </w:tr>
      <w:tr>
        <w:tc>
          <w:tcPr>
            <w:tcW w:w="1955" w:type="dxa"/>
          </w:tcPr>
          <w:p>
            <w:pPr/>
            <w:r>
              <w:t xml:space="preserve">S</w:t>
            </w:r>
          </w:p>
        </w:tc>
        <w:tc>
          <w:tcPr>
            <w:tcW w:w="1844" w:type="dxa"/>
          </w:tcPr>
          <w:p>
            <w:pPr/>
            <w:r>
              <w:t xml:space="preserve">오토인코더</w:t>
            </w:r>
          </w:p>
        </w:tc>
        <w:tc>
          <w:tcPr>
            <w:tcW w:w="3085" w:type="dxa"/>
          </w:tcPr>
          <w:p>
            <w:pPr/>
            <w:r>
              <w:t xml:space="preserve">2,781건</w:t>
            </w:r>
          </w:p>
        </w:tc>
        <w:tc>
          <w:tcPr>
            <w:tcW w:w="1237" w:type="dxa"/>
          </w:tcPr>
          <w:p>
            <w:pPr/>
            <w:r>
              <w:t xml:space="preserve">91.8%</w:t>
            </w:r>
          </w:p>
        </w:tc>
        <w:tc>
          <w:tcPr>
            <w:tcW w:w="1237" w:type="dxa"/>
          </w:tcPr>
          <w:p>
            <w:pPr/>
            <w:r>
              <w:t xml:space="preserve">6.0%</w:t>
            </w:r>
          </w:p>
        </w:tc>
      </w:tr>
    </w:tbl>
    <w:p>
      <w:pPr/>
      <w:r>
        <w:t xml:space="preserve">LightGBM이 숨긴 유형의 거래를 전부 낮게 평가하기 때문에, 오토인코더를 20% 섞는 것만으로는 C·W 거래가 전체 상위 10% 안에 들지 못했다. 오토인코더 혼자일 때는 재현율이 높지만 주의가 필요하다. S에서는 S 거래의 79%를 검토 대상에 올렸는데, 그중 실제 사기 비율(6.0%)이 아무렇게나 고른 것(5.2%)과 거의 같았다. 사기를 찾은 게 아니라 S 거래 자체를 "이상하다"고 본 것이다. C에서는 실제 사기 비율이 28.6%로, 아무렇게나 고른 것(13.4%)의 약 2.1배였다.</w:t>
      </w:r>
    </w:p>
    <w:p>
      <w:pPr>
        <w:pStyle w:val="Heading2"/>
      </w:pPr>
      <w:r>
        <w:t xml:space="preserve">6. 논의</w:t>
      </w:r>
    </w:p>
    <w:p>
      <w:pPr>
        <w:pStyle w:val="Heading3"/>
      </w:pPr>
      <w:r>
        <w:t xml:space="preserve">6.1 효과는 미관측 사기가 얼마나 새로운가에 달려 있다</w:t>
      </w:r>
    </w:p>
    <w:p>
      <w:pPr/>
      <w:r>
        <w:t xml:space="preserve">하이브리드가 확실히 나았던 C와 W는 표 1에서 다른 유형과 가장 달랐던 유형이다. 이 두 유형에서는 "미리 봤다면"의 점수와 실제 점수의 차이도 컸다(C 0.757 대 0.321). 다른 유형에서 배운 사기 패턴이 통하지 않는, 정말 새로운 사기였다는 뜻이다. 바로 이런 경우에 평소 모습만 아는 오토인코더가 도움이 됐다.</w:t>
      </w:r>
    </w:p>
    <w:p>
      <w:pPr/>
      <w:r>
        <w:t xml:space="preserve">반대로 R·H·S는 서로 비슷해서, 하나를 숨겨도 나머지 유형에서 배운 패턴이 그대로 통했다. 이때 숨긴 사기는 사실상 "아는 사기의 변형"이라 LightGBM만으로 충분했고, 오토인코더는 오히려 방해가 됐다. 다만 유형이 5개뿐이라, 이 관계는 통계로 증명한 것이 아니라 사례를 보고 내린 해석이다.</w:t>
      </w:r>
    </w:p>
    <w:p>
      <w:pPr>
        <w:pStyle w:val="Heading3"/>
      </w:pPr>
      <w:r>
        <w:t xml:space="preserve">6.2 순위화 개선과 운영 탐지는 다르다</w:t>
      </w:r>
    </w:p>
    <w:p>
      <w:pPr/>
      <w:r>
        <w:t xml:space="preserve">PR-AUC는 숨긴 유형의 거래만 따로 모아 그 안에서의 순서를 본다. 하지만 실제 운영에서는 모든 거래를 한 줄로 세우고 위에서부터 검토한다. LightGBM이 숨긴 유형의 거래를 통째로 낮게 보기 때문에, 하이브리드가 그 안의 순서를 바로잡아도 전체 상위권까지는 올라오지 못했다. 비유하면 한 반 안의 등수는 정확해졌지만, 학교 전체 상위 10%에 드는 학생은 여전히 없는 것과 같다. 따라서 이번 결과로 말할 수 있는 것은 "숨긴 유형 안에서 사기를 더 잘 가려낸다"까지이며, "실제 운영에서 더 많이 잡는다"는 아니다.</w:t>
      </w:r>
    </w:p>
    <w:p>
      <w:pPr/>
      <w:r>
        <w:t xml:space="preserve">운영에서 효과를 내려면 점수를 섞는 방식이 아닌 다른 방식이 필요하다. 예를 들어 검토할 수 있는 양의 일부를 오토인코더가 이상하다고 본 거래에 따로 나눠 주는 방식이 있다.</w:t>
      </w:r>
    </w:p>
    <w:p>
      <w:pPr>
        <w:pStyle w:val="Heading3"/>
      </w:pPr>
      <w:r>
        <w:t xml:space="preserve">6.3 오토인코더는 유형 자체를 이상으로 본다</w:t>
      </w:r>
    </w:p>
    <w:p>
      <w:pPr/>
      <w:r>
        <w:t xml:space="preserve">오토인코더의 이상 점수는 "가장 많은 W 거래와 다르다"는 사실에 크게 흔들렸다. S에서는 S 거래의 79%를 검토 대상에 올렸지만 사기를 골라내지는 못했다. 그래서 오토인코더 혼자의 높은 재현율을 "사기를 잘 찾는다"로 읽으면 안 되고, 재현율은 정밀도와 함께 봐야 한다. 상품 유형마다 오토인코더를 따로 만들거나, 같은 유형 안에서만 이상 점수를 비교하면 이 문제를 줄일 수 있을 것이다.</w:t>
      </w:r>
    </w:p>
    <w:p>
      <w:pPr>
        <w:pStyle w:val="Heading2"/>
      </w:pPr>
      <w:r>
        <w:t xml:space="preserve">7. 결론 및 한계</w:t>
      </w:r>
    </w:p>
    <w:p>
      <w:pPr/>
      <w:r>
        <w:t xml:space="preserve">오토인코더를 더한 하이브리드는 기존 사기와 성격이 다른 새 사기에서, 그 유형 안의 사기를 더 잘 가려냈다(C: PR-AUC +0.074). 하지만 이미 아는 사기를 찾는 성능을 더 많이 잃었고, 실제 운영 방식에서는 더 많이 잡지 못했다. 세 가지 질문에 대한 답은 다음과 같다.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처음 보는 사기를 더 잘 찾는가:</w:t>
      </w:r>
      <w:r>
        <w:t xml:space="preserve"> 유형 안에서의 가려내기는 C·W·R에서 나아졌고, H에서는 조금 나빠졌으며, S에서는 차이가 없었다.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어디서, 무엇을 대가로:</w:t>
      </w:r>
      <w:r>
        <w:t xml:space="preserve"> 다른 유형과 성격이 다른 유형에서 효과가 컸고, 그 대가로 이미 아는 유형의 점수가 0.052 떨어졌다(w = 20%).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실제 운영에서도 더 잡는가:</w:t>
      </w:r>
      <w:r>
        <w:t xml:space="preserve"> 점수를 섞는 방식에서는 그렇지 않았다.</w:t>
      </w:r>
    </w:p>
    <w:p>
      <w:pPr>
        <w:pStyle w:val="Heading3"/>
      </w:pPr>
      <w:r>
        <w:t xml:space="preserve">7.1 한계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데이터가 하나뿐이다:</w:t>
      </w:r>
      <w:r>
        <w:t xml:space="preserve"> IEEE-CIS 데이터만 썼다. 다른 공개 데이터(예: 유럽 카드 거래 데이터[9])는 상품 유형 정보가 없어 같은 실험을 하기 어렵다.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유형이 5개뿐이다:</w:t>
      </w:r>
      <w:r>
        <w:t xml:space="preserve"> "성격이 다를수록 효과가 크다"는 사례를 보고 내린 해석이다.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다른 지름길이 남아 있다:</w:t>
      </w:r>
      <w:r>
        <w:t xml:space="preserve"> 상품 유형 항목을 빼도, 금액의 센트 여부나 기기 정보 유무로 유형을 짐작할 수 있다.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결과를 본 뒤 정한 값이 있다:</w:t>
      </w:r>
      <w:r>
        <w:t xml:space="preserve"> 대표로 쓴 w = 20%는 사전 실험 후 정했다. 또 비교를 많이 해서 일부는 우연히 "확실한 차이"로 나왔을 수 있다.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신뢰구간이 다루는 범위:</w:t>
      </w:r>
      <w:r>
        <w:t xml:space="preserve"> 평가용 데이터에 따른 흔들림만 반영했고, 학습 시작값에 따른 흔들림은 3번의 평균으로만 다뤘다.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다른 방법과 비교하지 않았다:</w:t>
      </w:r>
      <w:r>
        <w:t xml:space="preserve"> Isolation Forest 같은 다른 이상 탐지 방법과는 비교하지 않았다.</w:t>
      </w:r>
    </w:p>
    <w:p>
      <w:pPr>
        <w:pStyle w:val="Heading3"/>
      </w:pPr>
      <w:r>
        <w:t xml:space="preserve">7.2 향후 연구</w:t>
      </w:r>
    </w:p>
    <w:p>
      <w:pPr/>
      <w:r>
        <w:t xml:space="preserve">검토량을 나눠 주는 방식, 상품 유형별 오토인코더, 다른 이상 탐지 방법과의 비교, 다른 데이터에서의 확인이 필요하다.</w:t>
      </w:r>
    </w:p>
    <w:p>
      <w:pPr>
        <w:pStyle w:val="Heading2"/>
      </w:pPr>
      <w:r>
        <w:t xml:space="preserve">부록 A. 지름길 점검: ProductCD 포함 대 제외</w:t>
      </w:r>
    </w:p>
    <w:p>
      <w:pPr/>
      <w:r>
        <w:t xml:space="preserve">상품 유형 항목(ProductCD)을 넣으면 LightGBM이 "숨긴 유형이면 정상"이라는 지름길을 배웠다. 이 항목을 빼도 C에서 하이브리드가 더 나다는 핵심 결과는 그대로였다.</w:t>
      </w:r>
    </w:p>
    <w:p>
      <w:pPr/>
      <w:r>
        <w:t xml:space="preserve">표 A1. 미관측 유형 PR-AUC: ProductCD 포함과 제외 (하이브리드 w = 0.2)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6"/>
        <w:gridCol w:w="1476"/>
        <w:gridCol w:w="2189"/>
        <w:gridCol w:w="2165"/>
        <w:gridCol w:w="2114"/>
      </w:tblGrid>
      <w:tr>
        <w:trPr>
          <w:tblHeader/>
        </w:trPr>
        <w:tc>
          <w:tcPr>
            <w:tcW w:w="1416" w:type="dxa"/>
            <w:shd w:val="clear" w:color="auto" w:fill="F2F2F2"/>
          </w:tcPr>
          <w:p>
            <w:pPr/>
            <w:r>
              <w:t xml:space="preserve">미관측 유형</w:t>
            </w:r>
          </w:p>
        </w:tc>
        <w:tc>
          <w:tcPr>
            <w:tcW w:w="1476" w:type="dxa"/>
            <w:shd w:val="clear" w:color="auto" w:fill="F2F2F2"/>
          </w:tcPr>
          <w:p>
            <w:pPr/>
            <w:r>
              <w:t xml:space="preserve">LightGBM 포함 → 제외</w:t>
            </w:r>
          </w:p>
        </w:tc>
        <w:tc>
          <w:tcPr>
            <w:tcW w:w="2189" w:type="dxa"/>
            <w:shd w:val="clear" w:color="auto" w:fill="F2F2F2"/>
          </w:tcPr>
          <w:p>
            <w:pPr/>
            <w:r>
              <w:t xml:space="preserve">차이 (제외 − 포함) [95% CI]</w:t>
            </w:r>
          </w:p>
        </w:tc>
        <w:tc>
          <w:tcPr>
            <w:tcW w:w="2165" w:type="dxa"/>
            <w:shd w:val="clear" w:color="auto" w:fill="F2F2F2"/>
          </w:tcPr>
          <w:p>
            <w:pPr/>
            <w:r>
              <w:t xml:space="preserve">하이브리드 개선폭: 포함</w:t>
            </w:r>
          </w:p>
        </w:tc>
        <w:tc>
          <w:tcPr>
            <w:tcW w:w="2114" w:type="dxa"/>
            <w:shd w:val="clear" w:color="auto" w:fill="F2F2F2"/>
          </w:tcPr>
          <w:p>
            <w:pPr/>
            <w:r>
              <w:t xml:space="preserve">하이브리드 개선폭: 제외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W</w:t>
            </w:r>
          </w:p>
        </w:tc>
        <w:tc>
          <w:tcPr>
            <w:tcW w:w="1476" w:type="dxa"/>
          </w:tcPr>
          <w:p>
            <w:pPr/>
            <w:r>
              <w:t xml:space="preserve">0.022 → 0.022</w:t>
            </w:r>
          </w:p>
        </w:tc>
        <w:tc>
          <w:tcPr>
            <w:tcW w:w="2189" w:type="dxa"/>
          </w:tcPr>
          <w:p>
            <w:pPr/>
            <w:r>
              <w:t xml:space="preserve">−0.001 [−0.001, +0.000]</w:t>
            </w:r>
          </w:p>
        </w:tc>
        <w:tc>
          <w:tcPr>
            <w:tcW w:w="2165" w:type="dxa"/>
          </w:tcPr>
          <w:p>
            <w:pPr/>
            <w:r>
              <w:t xml:space="preserve">+0.007 [+0.006, +0.009]</w:t>
            </w:r>
          </w:p>
        </w:tc>
        <w:tc>
          <w:tcPr>
            <w:tcW w:w="2114" w:type="dxa"/>
          </w:tcPr>
          <w:p>
            <w:pPr/>
            <w:r>
              <w:t xml:space="preserve">+0.005 [+0.004, +0.006]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C</w:t>
            </w:r>
          </w:p>
        </w:tc>
        <w:tc>
          <w:tcPr>
            <w:tcW w:w="1476" w:type="dxa"/>
          </w:tcPr>
          <w:p>
            <w:pPr/>
            <w:r>
              <w:t xml:space="preserve">0.301 → 0.321</w:t>
            </w:r>
          </w:p>
        </w:tc>
        <w:tc>
          <w:tcPr>
            <w:tcW w:w="2189" w:type="dxa"/>
          </w:tcPr>
          <w:p>
            <w:pPr/>
            <w:r>
              <w:t xml:space="preserve">+0.021 [+0.015, +0.026]</w:t>
            </w:r>
          </w:p>
        </w:tc>
        <w:tc>
          <w:tcPr>
            <w:tcW w:w="2165" w:type="dxa"/>
          </w:tcPr>
          <w:p>
            <w:pPr/>
            <w:r>
              <w:t xml:space="preserve">+0.085 [+0.075, +0.096]</w:t>
            </w:r>
          </w:p>
        </w:tc>
        <w:tc>
          <w:tcPr>
            <w:tcW w:w="2114" w:type="dxa"/>
          </w:tcPr>
          <w:p>
            <w:pPr/>
            <w:r>
              <w:t xml:space="preserve">+0.074 [+0.064, +0.083]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R</w:t>
            </w:r>
          </w:p>
        </w:tc>
        <w:tc>
          <w:tcPr>
            <w:tcW w:w="1476" w:type="dxa"/>
          </w:tcPr>
          <w:p>
            <w:pPr/>
            <w:r>
              <w:t xml:space="preserve">0.743 → 0.704</w:t>
            </w:r>
          </w:p>
        </w:tc>
        <w:tc>
          <w:tcPr>
            <w:tcW w:w="2189" w:type="dxa"/>
          </w:tcPr>
          <w:p>
            <w:pPr/>
            <w:r>
              <w:t xml:space="preserve">−0.038 [−0.058, −0.020]</w:t>
            </w:r>
          </w:p>
        </w:tc>
        <w:tc>
          <w:tcPr>
            <w:tcW w:w="2165" w:type="dxa"/>
          </w:tcPr>
          <w:p>
            <w:pPr/>
            <w:r>
              <w:t xml:space="preserve">−0.017 [−0.029, −0.007]</w:t>
            </w:r>
          </w:p>
        </w:tc>
        <w:tc>
          <w:tcPr>
            <w:tcW w:w="2114" w:type="dxa"/>
          </w:tcPr>
          <w:p>
            <w:pPr/>
            <w:r>
              <w:t xml:space="preserve">+0.014 [+0.003, +0.027]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H</w:t>
            </w:r>
          </w:p>
        </w:tc>
        <w:tc>
          <w:tcPr>
            <w:tcW w:w="1476" w:type="dxa"/>
          </w:tcPr>
          <w:p>
            <w:pPr/>
            <w:r>
              <w:t xml:space="preserve">0.504 → 0.528</w:t>
            </w:r>
          </w:p>
        </w:tc>
        <w:tc>
          <w:tcPr>
            <w:tcW w:w="2189" w:type="dxa"/>
          </w:tcPr>
          <w:p>
            <w:pPr/>
            <w:r>
              <w:t xml:space="preserve">+0.024 [+0.006, +0.040]</w:t>
            </w:r>
          </w:p>
        </w:tc>
        <w:tc>
          <w:tcPr>
            <w:tcW w:w="2165" w:type="dxa"/>
          </w:tcPr>
          <w:p>
            <w:pPr/>
            <w:r>
              <w:t xml:space="preserve">−0.033 [−0.046, −0.019]</w:t>
            </w:r>
          </w:p>
        </w:tc>
        <w:tc>
          <w:tcPr>
            <w:tcW w:w="2114" w:type="dxa"/>
          </w:tcPr>
          <w:p>
            <w:pPr/>
            <w:r>
              <w:t xml:space="preserve">−0.009 [−0.017, −0.001]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S</w:t>
            </w:r>
          </w:p>
        </w:tc>
        <w:tc>
          <w:tcPr>
            <w:tcW w:w="1476" w:type="dxa"/>
          </w:tcPr>
          <w:p>
            <w:pPr/>
            <w:r>
              <w:t xml:space="preserve">0.359 → 0.397</w:t>
            </w:r>
          </w:p>
        </w:tc>
        <w:tc>
          <w:tcPr>
            <w:tcW w:w="2189" w:type="dxa"/>
          </w:tcPr>
          <w:p>
            <w:pPr/>
            <w:r>
              <w:t xml:space="preserve">+0.038 [+0.020, +0.058]</w:t>
            </w:r>
          </w:p>
        </w:tc>
        <w:tc>
          <w:tcPr>
            <w:tcW w:w="2165" w:type="dxa"/>
          </w:tcPr>
          <w:p>
            <w:pPr/>
            <w:r>
              <w:t xml:space="preserve">−0.002 [−0.008, +0.002]</w:t>
            </w:r>
          </w:p>
        </w:tc>
        <w:tc>
          <w:tcPr>
            <w:tcW w:w="2114" w:type="dxa"/>
          </w:tcPr>
          <w:p>
            <w:pPr/>
            <w:r>
              <w:t xml:space="preserve">+0.001 [−0.004, +0.007]</w:t>
            </w:r>
          </w:p>
        </w:tc>
      </w:tr>
    </w:tbl>
    <w:p>
      <w:pPr/>
      <w:r>
        <w:t xml:space="preserve">상품 유형 항목을 빼자 C·H·S에서 LightGBM의 점수가 확실히 올랐고, 숨긴 유형의 상위 10% 재현율 평균은 0.119에서 0.249로 약 2배가 됐다. 그동안 숨긴 유형의 거래가 통째로 순서 뒤쪽에 밀려 있었던 것이다. 다만 R에서는 뺀 쪽이 오히려 낮았다.</w:t>
      </w:r>
    </w:p>
    <w:p>
      <w:pPr>
        <w:pStyle w:val="Heading2"/>
      </w:pPr>
      <w:r>
        <w:t xml:space="preserve">부록 B. 재현 정보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0"/>
        <w:gridCol w:w="6509"/>
      </w:tblGrid>
      <w:tr>
        <w:trPr>
          <w:tblHeader/>
        </w:trPr>
        <w:tc>
          <w:tcPr>
            <w:tcW w:w="285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6509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2850" w:type="dxa"/>
          </w:tcPr>
          <w:p>
            <w:pPr/>
            <w:r>
              <w:t xml:space="preserve">데이터</w:t>
            </w:r>
          </w:p>
        </w:tc>
        <w:tc>
          <w:tcPr>
            <w:tcW w:w="6509" w:type="dxa"/>
          </w:tcPr>
          <w:p>
            <w:pPr/>
            <w:r>
              <w:t xml:space="preserve">Kaggle IEEE-CIS Fraud Detection, train_transaction.csv + train_identity.csv</w:t>
            </w:r>
          </w:p>
        </w:tc>
      </w:tr>
      <w:tr>
        <w:tc>
          <w:tcPr>
            <w:tcW w:w="2850" w:type="dxa"/>
          </w:tcPr>
          <w:p>
            <w:pPr/>
            <w:r>
              <w:t xml:space="preserve">전처리</w:t>
            </w:r>
          </w:p>
        </w:tc>
        <w:tc>
          <w:tcPr>
            <w:tcW w:w="6509" w:type="dxa"/>
          </w:tcPr>
          <w:p>
            <w:pPr/>
            <w:r>
              <w:t xml:space="preserve">preprocessing.py (tree / nn 버전, meta.json)</w:t>
            </w:r>
          </w:p>
        </w:tc>
      </w:tr>
      <w:tr>
        <w:tc>
          <w:tcPr>
            <w:tcW w:w="2850" w:type="dxa"/>
          </w:tcPr>
          <w:p>
            <w:pPr/>
            <w:r>
              <w:t xml:space="preserve">실험</w:t>
            </w:r>
          </w:p>
        </w:tc>
        <w:tc>
          <w:tcPr>
            <w:tcW w:w="6509" w:type="dxa"/>
          </w:tcPr>
          <w:p>
            <w:pPr/>
            <w:r>
              <w:t xml:space="preserve">experiment_unseen.py (유형 제외 학습, 평가, 부트스트랩)</w:t>
            </w:r>
          </w:p>
        </w:tc>
      </w:tr>
      <w:tr>
        <w:tc>
          <w:tcPr>
            <w:tcW w:w="2850" w:type="dxa"/>
          </w:tcPr>
          <w:p>
            <w:pPr/>
            <w:r>
              <w:t xml:space="preserve">범주형 기준값 실험</w:t>
            </w:r>
          </w:p>
        </w:tc>
        <w:tc>
          <w:tcPr>
            <w:tcW w:w="6509" w:type="dxa"/>
          </w:tcPr>
          <w:p>
            <w:pPr/>
            <w:r>
              <w:t xml:space="preserve">tune_lgbm_categories.py</w:t>
            </w:r>
          </w:p>
        </w:tc>
      </w:tr>
      <w:tr>
        <w:tc>
          <w:tcPr>
            <w:tcW w:w="2850" w:type="dxa"/>
          </w:tcPr>
          <w:p>
            <w:pPr/>
            <w:r>
              <w:t xml:space="preserve">도구</w:t>
            </w:r>
          </w:p>
        </w:tc>
        <w:tc>
          <w:tcPr>
            <w:tcW w:w="6509" w:type="dxa"/>
          </w:tcPr>
          <w:p>
            <w:pPr/>
            <w:r>
              <w:t xml:space="preserve">Python 3.11, LightGBM 4.7.0, scikit-learn 1.9.1, PyTorch 2.5.1 (CPU)</w:t>
            </w:r>
          </w:p>
        </w:tc>
      </w:tr>
      <w:tr>
        <w:tc>
          <w:tcPr>
            <w:tcW w:w="2850" w:type="dxa"/>
          </w:tcPr>
          <w:p>
            <w:pPr/>
            <w:r>
              <w:t xml:space="preserve">재현성</w:t>
            </w:r>
          </w:p>
        </w:tc>
        <w:tc>
          <w:tcPr>
            <w:tcW w:w="6509" w:type="dxa"/>
          </w:tcPr>
          <w:p>
            <w:pPr/>
            <w:r>
              <w:t xml:space="preserve">LightGBM deterministic 설정, seed 42 / 7 / 2024, 부트스트랩 1,000회(난수 시드 0)</w:t>
            </w:r>
          </w:p>
        </w:tc>
      </w:tr>
      <w:tr>
        <w:tc>
          <w:tcPr>
            <w:tcW w:w="2850" w:type="dxa"/>
          </w:tcPr>
          <w:p>
            <w:pPr/>
            <w:r>
              <w:t xml:space="preserve">실행 시간</w:t>
            </w:r>
          </w:p>
        </w:tc>
        <w:tc>
          <w:tcPr>
            <w:tcW w:w="6509" w:type="dxa"/>
          </w:tcPr>
          <w:p>
            <w:pPr/>
            <w:r>
              <w:t xml:space="preserve">전체 실험 약 51분 + ProductCD 제외 LightGBM 약 14분 (CPU 12스레드)</w:t>
            </w:r>
          </w:p>
        </w:tc>
      </w:tr>
    </w:tbl>
    <w:p>
      <w:pPr>
        <w:pStyle w:val="Heading2"/>
      </w:pPr>
      <w:r>
        <w:t xml:space="preserve">참 고 문 헌</w:t>
      </w:r>
    </w:p>
    <w:p>
      <w:pPr/>
      <w:r>
        <w:t xml:space="preserve">[1] G. Ke, Q. Meng, T. Finley, T. Wang, W. Chen, W. Ma, Q. Ye and T.-Y. Liu, "LightGBM: A Highly Efficient Gradient Boosting Decision Tree," In Advances in Neural Information Processing Systems 30, 2017.</w:t>
      </w:r>
    </w:p>
    <w:p>
      <w:pPr/>
      <w:r>
        <w:t xml:space="preserve">[2] IEEE Computational Intelligence Society and Vesta Corporation, "IEEE-CIS Fraud Detection," Kaggle Competition, 2019. </w:t>
      </w:r>
      <w:hyperlink r:id="rId4" w:history="1">
        <w:r>
          <w:rPr>
            <w:rStyle w:val="Hyperlink"/>
          </w:rPr>
          <w:t xml:space="preserve">https://www.kaggle.com/competitions/ieee-fraud-detection</w:t>
        </w:r>
      </w:hyperlink>
    </w:p>
    <w:p>
      <w:pPr/>
      <w:r>
        <w:t xml:space="preserve">[3] G. E. Hinton and R. R. Salakhutdinov, "Reducing the Dimensionality of Data with Neural Networks," Science, Vol. 313, No. 5786, pp. 504-507, 2006.</w:t>
      </w:r>
    </w:p>
    <w:p>
      <w:pPr/>
      <w:r>
        <w:t xml:space="preserve">[4] G. Pang, C. Shen, L. Cao and A. van den Hengel, "Deep Learning for Anomaly Detection: A Review," ACM Computing Surveys, Vol. 54, No. 2, pp. 1-38, 2021.</w:t>
      </w:r>
    </w:p>
    <w:p>
      <w:pPr/>
      <w:r>
        <w:t xml:space="preserve">[5] F. T. Liu, K. M. Ting and Z.-H. Zhou, "Isolation Forest," In Proc. of the IEEE International Conference on Data Mining, 2008.</w:t>
      </w:r>
    </w:p>
    <w:p>
      <w:pPr/>
      <w:r>
        <w:t xml:space="preserve">[6] R. Geirhos, J.-H. Jacobsen, C. Michaelis, R. Zemel, W. Brendel, M. Bethge and F. A. Wichmann, "Shortcut Learning in Deep Neural Networks," Nature Machine Intelligence, Vol. 2, pp. 665-673, 2020.</w:t>
      </w:r>
    </w:p>
    <w:p>
      <w:pPr/>
      <w:r>
        <w:t xml:space="preserve">[7] T. Saito and M. Rehmsmeier, "The Precision-Recall Plot Is More Informative than the ROC Plot When Evaluating Binary Classifiers on Imbalanced Datasets," PLoS ONE, Vol. 10, No. 3, e0118432, 2015.</w:t>
      </w:r>
    </w:p>
    <w:p>
      <w:pPr/>
      <w:r>
        <w:t xml:space="preserve">[8] B. Efron and R. J. Tibshirani, An Introduction to the Bootstrap, Chapman &amp; Hall, 1993.</w:t>
      </w:r>
    </w:p>
    <w:p>
      <w:pPr/>
      <w:r>
        <w:t xml:space="preserve">[9] A. Dal Pozzolo, O. Caelen, R. A. Johnson and G. Bontempi, "Calibrating Probability with Undersampling for Unbalanced Classification," In Proc. of the IEEE Symposium Series on Computational Intelligence, 2015.</w:t>
      </w:r>
    </w:p>
    <w:p>
      <w:pPr>
        <w:pStyle w:val="Heading2"/>
      </w:pPr>
      <w:r>
        <w:t xml:space="preserve">저자 소개</w:t>
      </w:r>
    </w:p>
    <w:p>
      <w:pPr/>
      <w:r>
        <w:rPr>
          <w:b/>
        </w:rPr>
        <w:t xml:space="preserve">오 유 미</w:t>
      </w:r>
    </w:p>
    <w:p>
      <w:pPr/>
      <w:r>
        <w:t xml:space="preserve">방송통신대학원 정보과학과. 학력과 관심분야는 추가 필요.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kaggle.com/competitions/ieee-fraud-detection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미관측 유형 사기에 대한 오토인코더 기반 하이브리드 모델의 효과 검증</dc:title>
  <dc:description>Claude Docs node/a457a2ec-e943@43 docx-w7</dc:description>
  <cp:revision>43</cp:revision>
</cp:coreProperties>
</file>