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color w:val="333333"/>
          <w:sz w:val="28"/>
        </w:rPr>
        <w:t>优途箱包有限公司</w:t>
      </w:r>
    </w:p>
    <w:p/>
    <w:p>
      <w:pPr>
        <w:jc w:val="center"/>
      </w:pPr>
      <w:r>
        <w:rPr>
          <w:b/>
          <w:sz w:val="44"/>
        </w:rPr>
        <w:t>成本核算与定价管理办法</w:t>
      </w:r>
    </w:p>
    <w:p>
      <w:pPr>
        <w:jc w:val="center"/>
      </w:pPr>
      <w:r>
        <w:br/>
        <w:t>文件编号：FIN-001</w:t>
        <w:br/>
        <w:t>版本：V1.2</w:t>
        <w:br/>
        <w:t>发布日期：2026-06-03</w:t>
        <w:br/>
        <w:br/>
        <w:t>内部文件 · 仅供员工查阅</w:t>
        <w:br/>
      </w:r>
    </w:p>
    <w:p>
      <w:r>
        <w:br w:type="page"/>
      </w:r>
    </w:p>
    <w:p>
      <w:pPr>
        <w:pStyle w:val="Heading1"/>
      </w:pPr>
      <w:r>
        <w:t>1. 成本构成</w:t>
      </w:r>
    </w:p>
    <w:p>
      <w:r>
        <w:t>出厂成本 = 主料 + 辅料 + 直接人工 + 包装 + 制造费用分摊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成本项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占比(参考)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数据来源</w:t>
            </w:r>
          </w:p>
        </w:tc>
      </w:tr>
      <w:tr>
        <w:tc>
          <w:tcPr>
            <w:tcW w:type="dxa" w:w="2880"/>
          </w:tcPr>
          <w:p>
            <w:r>
              <w:t>主料</w:t>
            </w:r>
          </w:p>
        </w:tc>
        <w:tc>
          <w:tcPr>
            <w:tcW w:type="dxa" w:w="2880"/>
          </w:tcPr>
          <w:p>
            <w:r>
              <w:t>35-55%</w:t>
            </w:r>
          </w:p>
        </w:tc>
        <w:tc>
          <w:tcPr>
            <w:tcW w:type="dxa" w:w="2880"/>
          </w:tcPr>
          <w:p>
            <w:r>
              <w:t>采购订单/供应商报价</w:t>
            </w:r>
          </w:p>
        </w:tc>
      </w:tr>
      <w:tr>
        <w:tc>
          <w:tcPr>
            <w:tcW w:type="dxa" w:w="2880"/>
          </w:tcPr>
          <w:p>
            <w:r>
              <w:t>辅料</w:t>
            </w:r>
          </w:p>
        </w:tc>
        <w:tc>
          <w:tcPr>
            <w:tcW w:type="dxa" w:w="2880"/>
          </w:tcPr>
          <w:p>
            <w:r>
              <w:t>8-15%</w:t>
            </w:r>
          </w:p>
        </w:tc>
        <w:tc>
          <w:tcPr>
            <w:tcW w:type="dxa" w:w="2880"/>
          </w:tcPr>
          <w:p>
            <w:r>
              <w:t>采购订单</w:t>
            </w:r>
          </w:p>
        </w:tc>
      </w:tr>
      <w:tr>
        <w:tc>
          <w:tcPr>
            <w:tcW w:type="dxa" w:w="2880"/>
          </w:tcPr>
          <w:p>
            <w:r>
              <w:t>直接人工</w:t>
            </w:r>
          </w:p>
        </w:tc>
        <w:tc>
          <w:tcPr>
            <w:tcW w:type="dxa" w:w="2880"/>
          </w:tcPr>
          <w:p>
            <w:r>
              <w:t>15-25%</w:t>
            </w:r>
          </w:p>
        </w:tc>
        <w:tc>
          <w:tcPr>
            <w:tcW w:type="dxa" w:w="2880"/>
          </w:tcPr>
          <w:p>
            <w:r>
              <w:t>工厂工时标准</w:t>
            </w:r>
          </w:p>
        </w:tc>
      </w:tr>
      <w:tr>
        <w:tc>
          <w:tcPr>
            <w:tcW w:type="dxa" w:w="2880"/>
          </w:tcPr>
          <w:p>
            <w:r>
              <w:t>包装</w:t>
            </w:r>
          </w:p>
        </w:tc>
        <w:tc>
          <w:tcPr>
            <w:tcW w:type="dxa" w:w="2880"/>
          </w:tcPr>
          <w:p>
            <w:r>
              <w:t>3-8%</w:t>
            </w:r>
          </w:p>
        </w:tc>
        <w:tc>
          <w:tcPr>
            <w:tcW w:type="dxa" w:w="2880"/>
          </w:tcPr>
          <w:p>
            <w:r>
              <w:t>包装供应商报价</w:t>
            </w:r>
          </w:p>
        </w:tc>
      </w:tr>
      <w:tr>
        <w:tc>
          <w:tcPr>
            <w:tcW w:type="dxa" w:w="2880"/>
          </w:tcPr>
          <w:p>
            <w:r>
              <w:t>制造费用分摊</w:t>
            </w:r>
          </w:p>
        </w:tc>
        <w:tc>
          <w:tcPr>
            <w:tcW w:type="dxa" w:w="2880"/>
          </w:tcPr>
          <w:p>
            <w:r>
              <w:t>5-10%</w:t>
            </w:r>
          </w:p>
        </w:tc>
        <w:tc>
          <w:tcPr>
            <w:tcW w:type="dxa" w:w="2880"/>
          </w:tcPr>
          <w:p>
            <w:r>
              <w:t>财务部按月计算</w:t>
            </w:r>
          </w:p>
        </w:tc>
      </w:tr>
    </w:tbl>
    <w:p/>
    <w:p>
      <w:pPr>
        <w:pStyle w:val="Heading1"/>
      </w:pPr>
      <w:r>
        <w:t>2. 定价公式</w:t>
      </w:r>
    </w:p>
    <w:p>
      <w:r>
        <w:t>基本公式：</w:t>
      </w:r>
    </w:p>
    <w:p>
      <w:pPr>
        <w:pStyle w:val="IntenseQuote"/>
      </w:pPr>
      <w:r>
        <w:t>最低售价(USD) = (出厂成本CNY ÷ 汇率 + FBA费用USD + 头程分摊USD) ÷ (1 - 平台佣金 - 广告费率 - 目标利润率)</w:t>
      </w:r>
    </w:p>
    <w:p>
      <w:r>
        <w:t>当前参数（2026年Q1）：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参数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汇率</w:t>
            </w:r>
          </w:p>
        </w:tc>
        <w:tc>
          <w:tcPr>
            <w:tcW w:type="dxa" w:w="2880"/>
          </w:tcPr>
          <w:p>
            <w:r>
              <w:t>7.2</w:t>
            </w:r>
          </w:p>
        </w:tc>
        <w:tc>
          <w:tcPr>
            <w:tcW w:type="dxa" w:w="2880"/>
          </w:tcPr>
          <w:p>
            <w:r>
              <w:t>CNY/USD，财务部每月更新</w:t>
            </w:r>
          </w:p>
        </w:tc>
      </w:tr>
      <w:tr>
        <w:tc>
          <w:tcPr>
            <w:tcW w:type="dxa" w:w="2880"/>
          </w:tcPr>
          <w:p>
            <w:r>
              <w:t>Amazon佣金</w:t>
            </w:r>
          </w:p>
        </w:tc>
        <w:tc>
          <w:tcPr>
            <w:tcW w:type="dxa" w:w="2880"/>
          </w:tcPr>
          <w:p>
            <w:r>
              <w:t>15%</w:t>
            </w:r>
          </w:p>
        </w:tc>
        <w:tc>
          <w:tcPr>
            <w:tcW w:type="dxa" w:w="2880"/>
          </w:tcPr>
          <w:p>
            <w:r>
              <w:t>箱包类目</w:t>
            </w:r>
          </w:p>
        </w:tc>
      </w:tr>
      <w:tr>
        <w:tc>
          <w:tcPr>
            <w:tcW w:type="dxa" w:w="2880"/>
          </w:tcPr>
          <w:p>
            <w:r>
              <w:t>广告费率</w:t>
            </w:r>
          </w:p>
        </w:tc>
        <w:tc>
          <w:tcPr>
            <w:tcW w:type="dxa" w:w="2880"/>
          </w:tcPr>
          <w:p>
            <w:r>
              <w:t>8-12%</w:t>
            </w:r>
          </w:p>
        </w:tc>
        <w:tc>
          <w:tcPr>
            <w:tcW w:type="dxa" w:w="2880"/>
          </w:tcPr>
          <w:p>
            <w:r>
              <w:t>按站点调整</w:t>
            </w:r>
          </w:p>
        </w:tc>
      </w:tr>
      <w:tr>
        <w:tc>
          <w:tcPr>
            <w:tcW w:type="dxa" w:w="2880"/>
          </w:tcPr>
          <w:p>
            <w:r>
              <w:t>目标利润率</w:t>
            </w:r>
          </w:p>
        </w:tc>
        <w:tc>
          <w:tcPr>
            <w:tcW w:type="dxa" w:w="2880"/>
          </w:tcPr>
          <w:p>
            <w:r>
              <w:t>12-18%</w:t>
            </w:r>
          </w:p>
        </w:tc>
        <w:tc>
          <w:tcPr>
            <w:tcW w:type="dxa" w:w="2880"/>
          </w:tcPr>
          <w:p>
            <w:r>
              <w:t>扣除所有费用后</w:t>
            </w:r>
          </w:p>
        </w:tc>
      </w:tr>
      <w:tr>
        <w:tc>
          <w:tcPr>
            <w:tcW w:type="dxa" w:w="2880"/>
          </w:tcPr>
          <w:p>
            <w:r>
              <w:t>FBA费用</w:t>
            </w:r>
          </w:p>
        </w:tc>
        <w:tc>
          <w:tcPr>
            <w:tcW w:type="dxa" w:w="2880"/>
          </w:tcPr>
          <w:p>
            <w:r>
              <w:t>按尺寸重量查表</w:t>
            </w:r>
          </w:p>
        </w:tc>
        <w:tc>
          <w:tcPr>
            <w:tcW w:type="dxa" w:w="2880"/>
          </w:tcPr>
          <w:p>
            <w:r>
              <w:t>见《产品主数据表》</w:t>
            </w:r>
          </w:p>
        </w:tc>
      </w:tr>
    </w:tbl>
    <w:p/>
    <w:p>
      <w:pPr>
        <w:pStyle w:val="Heading1"/>
      </w:pPr>
      <w:r>
        <w:t>3. 毛利率红线</w:t>
      </w:r>
    </w:p>
    <w:p>
      <w:r>
        <w:t>低于 30% 毛利率的新品不予立项。</w:t>
        <w:br/>
        <w:t>已上架产品毛利率低于 25% 需运营部提交调价或下架方案。</w:t>
        <w:br/>
        <w:t>清仓产品毛利率可低至 10%，但需总经理审批。</w:t>
      </w:r>
    </w:p>
    <w:p>
      <w:pPr>
        <w:pStyle w:val="Heading1"/>
      </w:pPr>
      <w:r>
        <w:t>4. 成本变动审批</w:t>
      </w:r>
    </w:p>
    <w:p>
      <w:r>
        <w:t>成本上涨 ≥5%：采购主管→财务经理→产品总监。</w:t>
        <w:br/>
        <w:t>成本上涨 ≥10%：追加总经理审批，并评估售价调整。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