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333333"/>
          <w:sz w:val="28"/>
        </w:rPr>
        <w:t>优途箱包有限公司</w:t>
      </w:r>
    </w:p>
    <w:p/>
    <w:p>
      <w:pPr>
        <w:jc w:val="center"/>
      </w:pPr>
      <w:r>
        <w:rPr>
          <w:b/>
          <w:sz w:val="44"/>
        </w:rPr>
        <w:t>仓储管理制度</w:t>
      </w:r>
    </w:p>
    <w:p>
      <w:pPr>
        <w:jc w:val="center"/>
      </w:pPr>
      <w:r>
        <w:br/>
        <w:t>文件编号：WH-001</w:t>
        <w:br/>
        <w:t>版本：V1.0</w:t>
        <w:br/>
        <w:t>发布日期：2026-06-03</w:t>
        <w:br/>
        <w:br/>
        <w:t>内部文件 · 仅供员工查阅</w:t>
        <w:br/>
      </w:r>
    </w:p>
    <w:p>
      <w:r>
        <w:br w:type="page"/>
      </w:r>
    </w:p>
    <w:p>
      <w:pPr>
        <w:pStyle w:val="Heading1"/>
      </w:pPr>
      <w:r>
        <w:t>1. 仓库布局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t>深圳仓 SZ-A01</w:t>
            </w:r>
          </w:p>
        </w:tc>
        <w:tc>
          <w:tcPr>
            <w:tcW w:type="dxa" w:w="2160"/>
          </w:tcPr>
          <w:p>
            <w:r>
              <w:t>深圳市宝安区</w:t>
            </w:r>
          </w:p>
        </w:tc>
        <w:tc>
          <w:tcPr>
            <w:tcW w:type="dxa" w:w="2160"/>
          </w:tcPr>
          <w:p>
            <w:r>
              <w:t>国内中转、FBM发货</w:t>
            </w:r>
          </w:p>
        </w:tc>
        <w:tc>
          <w:tcPr>
            <w:tcW w:type="dxa" w:w="2160"/>
          </w:tcPr>
          <w:p>
            <w:r>
              <w:t>赵敏</w:t>
            </w:r>
          </w:p>
        </w:tc>
      </w:tr>
      <w:tr>
        <w:tc>
          <w:tcPr>
            <w:tcW w:type="dxa" w:w="2160"/>
          </w:tcPr>
          <w:p>
            <w:r>
              <w:t>广州仓 GZ-B02</w:t>
            </w:r>
          </w:p>
        </w:tc>
        <w:tc>
          <w:tcPr>
            <w:tcW w:type="dxa" w:w="2160"/>
          </w:tcPr>
          <w:p>
            <w:r>
              <w:t>广州市白云区</w:t>
            </w:r>
          </w:p>
        </w:tc>
        <w:tc>
          <w:tcPr>
            <w:tcW w:type="dxa" w:w="2160"/>
          </w:tcPr>
          <w:p>
            <w:r>
              <w:t>成品存储、质检</w:t>
            </w:r>
          </w:p>
        </w:tc>
        <w:tc>
          <w:tcPr>
            <w:tcW w:type="dxa" w:w="2160"/>
          </w:tcPr>
          <w:p>
            <w:r>
              <w:t>赵敏</w:t>
            </w:r>
          </w:p>
        </w:tc>
      </w:tr>
      <w:tr>
        <w:tc>
          <w:tcPr>
            <w:tcW w:type="dxa" w:w="2160"/>
          </w:tcPr>
          <w:p>
            <w:r>
              <w:t>FBA各站点</w:t>
            </w:r>
          </w:p>
        </w:tc>
        <w:tc>
          <w:tcPr>
            <w:tcW w:type="dxa" w:w="2160"/>
          </w:tcPr>
          <w:p>
            <w:r>
              <w:t>Amazon托管</w:t>
            </w:r>
          </w:p>
        </w:tc>
        <w:tc>
          <w:tcPr>
            <w:tcW w:type="dxa" w:w="2160"/>
          </w:tcPr>
          <w:p>
            <w:r>
              <w:t>平台销售库存</w:t>
            </w:r>
          </w:p>
        </w:tc>
        <w:tc>
          <w:tcPr>
            <w:tcW w:type="dxa" w:w="2160"/>
          </w:tcPr>
          <w:p>
            <w:r>
              <w:t>各站点运营</w:t>
            </w:r>
          </w:p>
        </w:tc>
      </w:tr>
    </w:tbl>
    <w:p/>
    <w:p>
      <w:pPr>
        <w:pStyle w:val="Heading1"/>
      </w:pPr>
      <w:r>
        <w:t>2. 库存管理规则</w:t>
      </w:r>
    </w:p>
    <w:p>
      <w:r>
        <w:t>安全库存 = 日均销量 × 补货周期 × 1.5。</w:t>
        <w:br/>
        <w:t>补货周期：FBA 美国 45天，欧洲 50天，日本 30天。</w:t>
        <w:br/>
        <w:t>低于安全库存 50% 触发《补货提醒》，运营部需在 3 个工作日内确认补货计划。</w:t>
      </w:r>
    </w:p>
    <w:p>
      <w:pPr>
        <w:pStyle w:val="Heading1"/>
      </w:pPr>
      <w:r>
        <w:t>3. 出入库流程</w:t>
      </w:r>
    </w:p>
    <w:p>
      <w:r>
        <w:t>入库：收货→质检(SOP-003)→ERP入库→上架。</w:t>
        <w:br/>
        <w:t>出库：ERP出库单→拣货→复核→打包→物流交接→ERP确认。</w:t>
      </w:r>
    </w:p>
    <w:p>
      <w:pPr>
        <w:pStyle w:val="Heading1"/>
      </w:pPr>
      <w:r>
        <w:t>4. 盘点</w:t>
      </w:r>
    </w:p>
    <w:p>
      <w:r>
        <w:t>全盘：每季度一次。循环盘点：每月抽查 20% SKU。差异率 &gt;0.5% 需出具《盘点差异报告》。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