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CC915" w14:textId="77777777" w:rsidR="00E86255" w:rsidRDefault="00346CDB" w:rsidP="00EC53EE">
      <w:pPr>
        <w:pStyle w:val="Title"/>
        <w:spacing w:before="1900" w:after="240"/>
        <w:jc w:val="both"/>
      </w:pPr>
      <w:r>
        <w:rPr>
          <w:b/>
          <w:color w:val="142B4A"/>
          <w:sz w:val="46"/>
        </w:rPr>
        <w:t>Singapore Private Property Transaction Pipeline</w:t>
      </w:r>
    </w:p>
    <w:p w14:paraId="277AE899" w14:textId="77777777" w:rsidR="00E86255" w:rsidRDefault="00346CDB" w:rsidP="00EC53EE">
      <w:pPr>
        <w:pStyle w:val="Subtitle"/>
        <w:spacing w:after="480"/>
        <w:jc w:val="both"/>
      </w:pPr>
      <w:r>
        <w:t>An end-to-end ELT pipeline, data-quality framework and descriptive analysis of 170,224 URA private residential transactions</w:t>
      </w:r>
    </w:p>
    <w:p w14:paraId="3139F160" w14:textId="77777777" w:rsidR="00E86255" w:rsidRDefault="00E86255" w:rsidP="00EC53EE">
      <w:pPr>
        <w:pBdr>
          <w:bottom w:val="single" w:sz="6" w:space="1" w:color="C9D2DC"/>
        </w:pBdr>
        <w:spacing w:after="200"/>
        <w:jc w:val="both"/>
      </w:pPr>
    </w:p>
    <w:p w14:paraId="16EDC7C5" w14:textId="77777777" w:rsidR="00E86255" w:rsidRDefault="00346CDB" w:rsidP="00EC53EE">
      <w:pPr>
        <w:spacing w:before="600" w:after="40"/>
        <w:jc w:val="both"/>
        <w:rPr>
          <w:color w:val="55657A"/>
        </w:rPr>
      </w:pPr>
      <w:r>
        <w:rPr>
          <w:color w:val="55657A"/>
        </w:rPr>
        <w:t>Group 5  ·  Module 2 Assignmen</w:t>
      </w:r>
      <w:r w:rsidR="00CB123F">
        <w:rPr>
          <w:color w:val="55657A"/>
        </w:rPr>
        <w:t>t</w:t>
      </w:r>
    </w:p>
    <w:p w14:paraId="3B158684" w14:textId="77777777" w:rsidR="00C47835" w:rsidRDefault="00C47835" w:rsidP="00EC53EE">
      <w:pPr>
        <w:spacing w:before="600" w:after="40"/>
        <w:jc w:val="both"/>
        <w:rPr>
          <w:color w:val="55657A"/>
        </w:rPr>
      </w:pPr>
      <w:r>
        <w:rPr>
          <w:color w:val="55657A"/>
        </w:rPr>
        <w:t xml:space="preserve">Members:  </w:t>
      </w:r>
      <w:r w:rsidRPr="00C47835">
        <w:rPr>
          <w:color w:val="55657A"/>
        </w:rPr>
        <w:t>Adelene Soh</w:t>
      </w:r>
      <w:r>
        <w:rPr>
          <w:color w:val="55657A"/>
        </w:rPr>
        <w:t>, JenHo, Siew Yin</w:t>
      </w:r>
    </w:p>
    <w:p w14:paraId="43D64766" w14:textId="77777777" w:rsidR="00E86255" w:rsidRDefault="00346CDB" w:rsidP="00EC53EE">
      <w:pPr>
        <w:pStyle w:val="Heading1"/>
        <w:pageBreakBefore/>
        <w:jc w:val="both"/>
      </w:pPr>
      <w:r>
        <w:lastRenderedPageBreak/>
        <w:t>1. Executive summary</w:t>
      </w:r>
    </w:p>
    <w:p w14:paraId="0E7DFEE8" w14:textId="77777777" w:rsidR="00E86255" w:rsidRDefault="00346CDB" w:rsidP="00EC53EE">
      <w:pPr>
        <w:spacing w:after="140"/>
        <w:jc w:val="both"/>
      </w:pPr>
      <w:r>
        <w:rPr>
          <w:color w:val="1A1A1A"/>
          <w:sz w:val="21"/>
        </w:rPr>
        <w:t xml:space="preserve">We built an end-to-end ELT pipeline that transforms 19 raw URA CSV exports into a queryable star schema in Google BigQuery, checks data quality with dbt and Great Expectations, and analyses the resulting data in Python. The report brings together the pipeline design, validation results and four descriptive analyses. </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3969"/>
        <w:gridCol w:w="5216"/>
      </w:tblGrid>
      <w:tr w:rsidR="00E86255" w14:paraId="3CE7E71A" w14:textId="77777777" w:rsidTr="00F16F3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183756"/>
            <w:vAlign w:val="center"/>
          </w:tcPr>
          <w:p w14:paraId="12A8BE82" w14:textId="77777777" w:rsidR="00E86255" w:rsidRDefault="00346CDB" w:rsidP="00EC53EE">
            <w:pPr>
              <w:spacing w:before="40" w:after="40"/>
              <w:jc w:val="both"/>
            </w:pPr>
            <w:r>
              <w:rPr>
                <w:color w:val="FFFFFF"/>
                <w:sz w:val="17"/>
              </w:rPr>
              <w:t>What was built</w:t>
            </w:r>
          </w:p>
        </w:tc>
        <w:tc>
          <w:tcPr>
            <w:tcW w:w="5216" w:type="dxa"/>
            <w:shd w:val="clear" w:color="auto" w:fill="183756"/>
            <w:vAlign w:val="center"/>
          </w:tcPr>
          <w:p w14:paraId="6EA14BDA"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Result</w:t>
            </w:r>
          </w:p>
        </w:tc>
      </w:tr>
      <w:tr w:rsidR="00E86255" w14:paraId="0D0F2091" w14:textId="77777777" w:rsidTr="00F16F3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799A27E" w14:textId="77777777" w:rsidR="00E86255" w:rsidRDefault="00346CDB" w:rsidP="00EC53EE">
            <w:pPr>
              <w:spacing w:before="40" w:after="40"/>
              <w:jc w:val="both"/>
            </w:pPr>
            <w:r>
              <w:rPr>
                <w:color w:val="1A1A1A"/>
                <w:sz w:val="17"/>
              </w:rPr>
              <w:t>Rows carried end to end, source files to fact table</w:t>
            </w:r>
          </w:p>
        </w:tc>
        <w:tc>
          <w:tcPr>
            <w:tcW w:w="5216" w:type="dxa"/>
            <w:vAlign w:val="center"/>
          </w:tcPr>
          <w:p w14:paraId="4BFB91A4"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170,224 — unchanged at every stage</w:t>
            </w:r>
          </w:p>
        </w:tc>
      </w:tr>
      <w:tr w:rsidR="00E86255" w14:paraId="3CBF0851" w14:textId="77777777" w:rsidTr="00F16F36">
        <w:trPr>
          <w:cantSplit/>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EDF1F5"/>
            <w:vAlign w:val="center"/>
          </w:tcPr>
          <w:p w14:paraId="186101F1" w14:textId="77777777" w:rsidR="00E86255" w:rsidRDefault="00346CDB" w:rsidP="00EC53EE">
            <w:pPr>
              <w:spacing w:before="40" w:after="40"/>
              <w:jc w:val="both"/>
            </w:pPr>
            <w:r>
              <w:rPr>
                <w:color w:val="1A1A1A"/>
                <w:sz w:val="17"/>
              </w:rPr>
              <w:t>Warehouse models (dbt)</w:t>
            </w:r>
          </w:p>
        </w:tc>
        <w:tc>
          <w:tcPr>
            <w:tcW w:w="5216" w:type="dxa"/>
            <w:shd w:val="clear" w:color="auto" w:fill="EDF1F5"/>
            <w:vAlign w:val="center"/>
          </w:tcPr>
          <w:p w14:paraId="5C9434EB"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4 — one staging, two dimensions, one fact</w:t>
            </w:r>
          </w:p>
        </w:tc>
      </w:tr>
      <w:tr w:rsidR="00E86255" w14:paraId="2200195D" w14:textId="77777777" w:rsidTr="00F16F3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07AEE951" w14:textId="77777777" w:rsidR="00E86255" w:rsidRDefault="00346CDB" w:rsidP="00EC53EE">
            <w:pPr>
              <w:spacing w:before="40" w:after="40"/>
              <w:jc w:val="both"/>
            </w:pPr>
            <w:r>
              <w:rPr>
                <w:color w:val="1A1A1A"/>
                <w:sz w:val="17"/>
              </w:rPr>
              <w:t>dbt data tests</w:t>
            </w:r>
          </w:p>
        </w:tc>
        <w:tc>
          <w:tcPr>
            <w:tcW w:w="5216" w:type="dxa"/>
            <w:vAlign w:val="center"/>
          </w:tcPr>
          <w:p w14:paraId="5C396C64"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20, all passing (PASS=24 SKIP=0 TOTAL=24, including the 4 models)</w:t>
            </w:r>
          </w:p>
        </w:tc>
      </w:tr>
      <w:tr w:rsidR="00E86255" w14:paraId="486E41FB" w14:textId="77777777" w:rsidTr="00F16F36">
        <w:trPr>
          <w:cantSplit/>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EDF1F5"/>
            <w:vAlign w:val="center"/>
          </w:tcPr>
          <w:p w14:paraId="78D9C0E0" w14:textId="77777777" w:rsidR="00E86255" w:rsidRDefault="00346CDB" w:rsidP="00EC53EE">
            <w:pPr>
              <w:spacing w:before="40" w:after="40"/>
              <w:jc w:val="both"/>
            </w:pPr>
            <w:r>
              <w:rPr>
                <w:color w:val="1A1A1A"/>
                <w:sz w:val="17"/>
              </w:rPr>
              <w:t>Great Expectations expectations</w:t>
            </w:r>
          </w:p>
        </w:tc>
        <w:tc>
          <w:tcPr>
            <w:tcW w:w="5216" w:type="dxa"/>
            <w:shd w:val="clear" w:color="auto" w:fill="EDF1F5"/>
            <w:vAlign w:val="center"/>
          </w:tcPr>
          <w:p w14:paraId="54C94523"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15 — 12 pass, 3 fail by design</w:t>
            </w:r>
          </w:p>
        </w:tc>
      </w:tr>
      <w:tr w:rsidR="00E86255" w14:paraId="6C031D79" w14:textId="77777777" w:rsidTr="00F16F3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48E61419" w14:textId="77777777" w:rsidR="00E86255" w:rsidRDefault="00346CDB" w:rsidP="00EC53EE">
            <w:pPr>
              <w:spacing w:before="40" w:after="40"/>
              <w:jc w:val="both"/>
            </w:pPr>
            <w:r>
              <w:rPr>
                <w:color w:val="1A1A1A"/>
                <w:sz w:val="17"/>
              </w:rPr>
              <w:t>Python analyses</w:t>
            </w:r>
          </w:p>
        </w:tc>
        <w:tc>
          <w:tcPr>
            <w:tcW w:w="5216" w:type="dxa"/>
            <w:vAlign w:val="center"/>
          </w:tcPr>
          <w:p w14:paraId="3D9DDBB9"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4, each reported as a chart in section 7</w:t>
            </w:r>
          </w:p>
        </w:tc>
      </w:tr>
      <w:tr w:rsidR="00E86255" w14:paraId="3B8E0956" w14:textId="77777777" w:rsidTr="00F16F36">
        <w:trPr>
          <w:cantSplit/>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EDF1F5"/>
            <w:vAlign w:val="center"/>
          </w:tcPr>
          <w:p w14:paraId="4E8E9FEB" w14:textId="77777777" w:rsidR="00E86255" w:rsidRDefault="00346CDB" w:rsidP="00EC53EE">
            <w:pPr>
              <w:spacing w:before="40" w:after="40"/>
              <w:jc w:val="both"/>
            </w:pPr>
            <w:r>
              <w:rPr>
                <w:color w:val="1A1A1A"/>
                <w:sz w:val="17"/>
              </w:rPr>
              <w:t>Period covered</w:t>
            </w:r>
          </w:p>
        </w:tc>
        <w:tc>
          <w:tcPr>
            <w:tcW w:w="5216" w:type="dxa"/>
            <w:shd w:val="clear" w:color="auto" w:fill="EDF1F5"/>
            <w:vAlign w:val="center"/>
          </w:tcPr>
          <w:p w14:paraId="5099E90A"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 April 2013 – 17 April 2022 (109 consecutive months, no gaps)</w:t>
            </w:r>
          </w:p>
        </w:tc>
      </w:tr>
    </w:tbl>
    <w:p w14:paraId="530906E0" w14:textId="639C1127" w:rsidR="00E86255" w:rsidRDefault="0046138A" w:rsidP="00EC53EE">
      <w:pPr>
        <w:keepLines/>
        <w:spacing w:before="60" w:after="160"/>
        <w:jc w:val="both"/>
      </w:pPr>
      <w:r>
        <w:rPr>
          <w:i/>
          <w:color w:val="555C64"/>
          <w:sz w:val="17"/>
        </w:rPr>
        <w:t xml:space="preserve">    </w:t>
      </w:r>
      <w:r w:rsidR="00346CDB">
        <w:rPr>
          <w:i/>
          <w:color w:val="555C64"/>
          <w:sz w:val="17"/>
        </w:rPr>
        <w:t>Table 1 — Pipeline scale and validation summary</w:t>
      </w:r>
    </w:p>
    <w:p w14:paraId="1C59A907" w14:textId="77777777" w:rsidR="00E86255" w:rsidRDefault="00346CDB" w:rsidP="00EC53EE">
      <w:pPr>
        <w:spacing w:after="80"/>
        <w:jc w:val="both"/>
      </w:pPr>
      <w:r>
        <w:rPr>
          <w:b/>
          <w:color w:val="1A1A1A"/>
          <w:sz w:val="21"/>
        </w:rPr>
        <w:t>Three findings stand out.</w:t>
      </w:r>
    </w:p>
    <w:p w14:paraId="36B6295E" w14:textId="77777777" w:rsidR="00E86255" w:rsidRDefault="00346CDB" w:rsidP="00EC53EE">
      <w:pPr>
        <w:pStyle w:val="ListBullet"/>
        <w:spacing w:after="60"/>
        <w:jc w:val="both"/>
      </w:pPr>
      <w:r>
        <w:rPr>
          <w:color w:val="1A1A1A"/>
          <w:sz w:val="21"/>
        </w:rPr>
        <w:t>Median price per square foot increased by 74% from the July 2015 trough (S$1,044) to April 2022 (S$1,813). Monthly transaction volume did not follow the same pattern and peaked at 3,662 transactions in March 2018.</w:t>
      </w:r>
    </w:p>
    <w:p w14:paraId="055DBAFE" w14:textId="77777777" w:rsidR="00E86255" w:rsidRDefault="00346CDB" w:rsidP="00EC53EE">
      <w:pPr>
        <w:pStyle w:val="ListBullet"/>
        <w:spacing w:after="60"/>
        <w:jc w:val="both"/>
      </w:pPr>
      <w:r>
        <w:rPr>
          <w:color w:val="1A1A1A"/>
          <w:sz w:val="21"/>
        </w:rPr>
        <w:t>Regional differences are substantial in this dataset: the Central Region's median of S$1,689 per sq ft is 1.59 times the North Region's S$1,065. This is the largest gap among the attributes compared in this analysis.</w:t>
      </w:r>
    </w:p>
    <w:p w14:paraId="77DB4C74" w14:textId="77777777" w:rsidR="00E86255" w:rsidRDefault="00346CDB" w:rsidP="00EC53EE">
      <w:pPr>
        <w:pStyle w:val="ListBullet"/>
        <w:spacing w:after="60"/>
        <w:jc w:val="both"/>
      </w:pPr>
      <w:r>
        <w:rPr>
          <w:color w:val="1A1A1A"/>
          <w:sz w:val="21"/>
        </w:rPr>
        <w:t>Transactions with an HDB address indicator had a median total price of S$1,100,260, compared with S$1,420,000 for the private-address group. The difference was narrower on a price-per-square-foot basis (S$1,327 versus S$1,452), alongside a smaller median unit size for the HDB-address group. These are group-level associations, not evidence of individual buyer motivations.</w:t>
      </w:r>
    </w:p>
    <w:p w14:paraId="33110876" w14:textId="77777777" w:rsidR="00E86255" w:rsidRDefault="00346CDB" w:rsidP="00EC53EE">
      <w:pPr>
        <w:pStyle w:val="Heading1"/>
        <w:jc w:val="both"/>
      </w:pPr>
      <w:r>
        <w:t>2. Dataset and scope</w:t>
      </w:r>
    </w:p>
    <w:p w14:paraId="2F7E5655" w14:textId="77777777" w:rsidR="00E86255" w:rsidRDefault="00346CDB" w:rsidP="00EC53EE">
      <w:pPr>
        <w:pStyle w:val="Heading2"/>
        <w:jc w:val="both"/>
      </w:pPr>
      <w:r>
        <w:t xml:space="preserve">2.1 </w:t>
      </w:r>
      <w:r w:rsidR="00302C42">
        <w:t xml:space="preserve"> Dataset</w:t>
      </w:r>
    </w:p>
    <w:p w14:paraId="43103553" w14:textId="2B6FCD4B" w:rsidR="000E1999" w:rsidRPr="000E1999" w:rsidRDefault="000E1999" w:rsidP="00EC53EE">
      <w:pPr>
        <w:jc w:val="both"/>
        <w:rPr>
          <w:color w:val="1A1A1A"/>
          <w:sz w:val="21"/>
        </w:rPr>
      </w:pPr>
      <w:r>
        <w:rPr>
          <w:color w:val="1A1A1A"/>
          <w:sz w:val="21"/>
        </w:rPr>
        <w:t>T</w:t>
      </w:r>
      <w:r w:rsidRPr="000E1999">
        <w:rPr>
          <w:color w:val="1A1A1A"/>
          <w:sz w:val="21"/>
        </w:rPr>
        <w:t>his project uses private residential property transaction records published by the Urban Redevelopment Authority (URA) of Singapore, spanning 1 April 2013 to 17 April 2022</w:t>
      </w:r>
    </w:p>
    <w:p w14:paraId="788A1278" w14:textId="1BD12F4C" w:rsidR="00E86255" w:rsidRDefault="00346CDB" w:rsidP="00EC53EE">
      <w:pPr>
        <w:pStyle w:val="Heading2"/>
        <w:jc w:val="both"/>
      </w:pPr>
      <w:r>
        <w:t>2.2 What the raw data looks like</w:t>
      </w:r>
    </w:p>
    <w:p w14:paraId="63F38FC2" w14:textId="77777777" w:rsidR="00E86255" w:rsidRDefault="00346CDB" w:rsidP="00EC53EE">
      <w:pPr>
        <w:spacing w:after="140"/>
        <w:jc w:val="both"/>
      </w:pPr>
      <w:r>
        <w:rPr>
          <w:color w:val="1A1A1A"/>
          <w:sz w:val="21"/>
        </w:rPr>
        <w:t>All 21 source columns arrive as text. Prices carry thousands separators ("1,350,000"), missing numerics are a literal hyphen, dates are formatted "17 Apr 2022", and one column mixes three different kinds of value. Loading this with type inference would silently discard values, so the pipeline loads everything as text and does all casting in SQL, where the logic is visible, reviewable and testable.</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1928"/>
        <w:gridCol w:w="2494"/>
        <w:gridCol w:w="1247"/>
        <w:gridCol w:w="3515"/>
      </w:tblGrid>
      <w:tr w:rsidR="00E86255" w14:paraId="15D9656C"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183756"/>
            <w:vAlign w:val="center"/>
          </w:tcPr>
          <w:p w14:paraId="11DF0396" w14:textId="77777777" w:rsidR="00E86255" w:rsidRDefault="00346CDB" w:rsidP="00EC53EE">
            <w:pPr>
              <w:spacing w:before="40" w:after="40"/>
              <w:jc w:val="both"/>
            </w:pPr>
            <w:r>
              <w:rPr>
                <w:color w:val="FFFFFF"/>
                <w:sz w:val="17"/>
              </w:rPr>
              <w:t>Column</w:t>
            </w:r>
          </w:p>
        </w:tc>
        <w:tc>
          <w:tcPr>
            <w:tcW w:w="2494" w:type="dxa"/>
            <w:shd w:val="clear" w:color="auto" w:fill="183756"/>
            <w:vAlign w:val="center"/>
          </w:tcPr>
          <w:p w14:paraId="33993981"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What arrives</w:t>
            </w:r>
          </w:p>
        </w:tc>
        <w:tc>
          <w:tcPr>
            <w:tcW w:w="1247" w:type="dxa"/>
            <w:shd w:val="clear" w:color="auto" w:fill="183756"/>
            <w:vAlign w:val="center"/>
          </w:tcPr>
          <w:p w14:paraId="183FE38E"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Rows</w:t>
            </w:r>
          </w:p>
        </w:tc>
        <w:tc>
          <w:tcPr>
            <w:tcW w:w="3515" w:type="dxa"/>
            <w:shd w:val="clear" w:color="auto" w:fill="183756"/>
            <w:vAlign w:val="center"/>
          </w:tcPr>
          <w:p w14:paraId="66098252"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How the pipeline handles it</w:t>
            </w:r>
          </w:p>
        </w:tc>
      </w:tr>
      <w:tr w:rsidR="00E86255" w14:paraId="26530D54"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5014ADB6" w14:textId="77777777" w:rsidR="00E86255" w:rsidRDefault="00346CDB" w:rsidP="00EC53EE">
            <w:pPr>
              <w:spacing w:before="40" w:after="40"/>
              <w:jc w:val="both"/>
            </w:pPr>
            <w:r>
              <w:rPr>
                <w:color w:val="1A1A1A"/>
                <w:sz w:val="17"/>
              </w:rPr>
              <w:t>transacted_price</w:t>
            </w:r>
          </w:p>
        </w:tc>
        <w:tc>
          <w:tcPr>
            <w:tcW w:w="2494" w:type="dxa"/>
            <w:vAlign w:val="center"/>
          </w:tcPr>
          <w:p w14:paraId="4458F1EA"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"1,350,000" with separators</w:t>
            </w:r>
          </w:p>
        </w:tc>
        <w:tc>
          <w:tcPr>
            <w:tcW w:w="1247" w:type="dxa"/>
            <w:vAlign w:val="center"/>
          </w:tcPr>
          <w:p w14:paraId="23456CD6"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170,224</w:t>
            </w:r>
          </w:p>
        </w:tc>
        <w:tc>
          <w:tcPr>
            <w:tcW w:w="3515" w:type="dxa"/>
            <w:vAlign w:val="center"/>
          </w:tcPr>
          <w:p w14:paraId="396D0484"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strip non-numeric, SAFE_CAST to NUMERIC</w:t>
            </w:r>
          </w:p>
        </w:tc>
      </w:tr>
      <w:tr w:rsidR="00E86255" w14:paraId="421EAD83"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EDF1F5"/>
            <w:vAlign w:val="center"/>
          </w:tcPr>
          <w:p w14:paraId="5B330D08" w14:textId="77777777" w:rsidR="00E86255" w:rsidRDefault="00346CDB" w:rsidP="00EC53EE">
            <w:pPr>
              <w:spacing w:before="40" w:after="40"/>
              <w:jc w:val="both"/>
            </w:pPr>
            <w:r>
              <w:rPr>
                <w:color w:val="1A1A1A"/>
                <w:sz w:val="17"/>
              </w:rPr>
              <w:t>sale_date</w:t>
            </w:r>
          </w:p>
        </w:tc>
        <w:tc>
          <w:tcPr>
            <w:tcW w:w="2494" w:type="dxa"/>
            <w:shd w:val="clear" w:color="auto" w:fill="EDF1F5"/>
            <w:vAlign w:val="center"/>
          </w:tcPr>
          <w:p w14:paraId="5087CA9D"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"17 Apr 2022"</w:t>
            </w:r>
          </w:p>
        </w:tc>
        <w:tc>
          <w:tcPr>
            <w:tcW w:w="1247" w:type="dxa"/>
            <w:shd w:val="clear" w:color="auto" w:fill="EDF1F5"/>
            <w:vAlign w:val="center"/>
          </w:tcPr>
          <w:p w14:paraId="0474D9A8"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170,224</w:t>
            </w:r>
          </w:p>
        </w:tc>
        <w:tc>
          <w:tcPr>
            <w:tcW w:w="3515" w:type="dxa"/>
            <w:shd w:val="clear" w:color="auto" w:fill="EDF1F5"/>
            <w:vAlign w:val="center"/>
          </w:tcPr>
          <w:p w14:paraId="11CEB5BC"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SAFE.PARSE_DATE('%d %b %Y', …)</w:t>
            </w:r>
          </w:p>
        </w:tc>
      </w:tr>
      <w:tr w:rsidR="00E86255" w14:paraId="3244A268"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2DF3479E" w14:textId="77777777" w:rsidR="00E86255" w:rsidRDefault="00346CDB" w:rsidP="00EC53EE">
            <w:pPr>
              <w:spacing w:before="40" w:after="40"/>
              <w:jc w:val="both"/>
            </w:pPr>
            <w:r>
              <w:rPr>
                <w:color w:val="1A1A1A"/>
                <w:sz w:val="17"/>
              </w:rPr>
              <w:t>nett_price</w:t>
            </w:r>
          </w:p>
        </w:tc>
        <w:tc>
          <w:tcPr>
            <w:tcW w:w="2494" w:type="dxa"/>
            <w:vAlign w:val="center"/>
          </w:tcPr>
          <w:p w14:paraId="690F47BF"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literal "-" when not published</w:t>
            </w:r>
          </w:p>
        </w:tc>
        <w:tc>
          <w:tcPr>
            <w:tcW w:w="1247" w:type="dxa"/>
            <w:vAlign w:val="center"/>
          </w:tcPr>
          <w:p w14:paraId="0A4051F1"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169,291 null</w:t>
            </w:r>
          </w:p>
        </w:tc>
        <w:tc>
          <w:tcPr>
            <w:tcW w:w="3515" w:type="dxa"/>
            <w:vAlign w:val="center"/>
          </w:tcPr>
          <w:p w14:paraId="60943F13"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NULLIF(…, '-') then SAFE_CAST</w:t>
            </w:r>
          </w:p>
        </w:tc>
      </w:tr>
      <w:tr w:rsidR="00E86255" w14:paraId="15784918"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EDF1F5"/>
            <w:vAlign w:val="center"/>
          </w:tcPr>
          <w:p w14:paraId="0E1735D8" w14:textId="77777777" w:rsidR="00E86255" w:rsidRDefault="00346CDB" w:rsidP="00EC53EE">
            <w:pPr>
              <w:spacing w:before="40" w:after="40"/>
              <w:jc w:val="both"/>
            </w:pPr>
            <w:r>
              <w:rPr>
                <w:color w:val="1A1A1A"/>
                <w:sz w:val="17"/>
              </w:rPr>
              <w:t>completion_date</w:t>
            </w:r>
          </w:p>
        </w:tc>
        <w:tc>
          <w:tcPr>
            <w:tcW w:w="2494" w:type="dxa"/>
            <w:shd w:val="clear" w:color="auto" w:fill="EDF1F5"/>
            <w:vAlign w:val="center"/>
          </w:tcPr>
          <w:p w14:paraId="2B794C94"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a 4-digit year</w:t>
            </w:r>
          </w:p>
        </w:tc>
        <w:tc>
          <w:tcPr>
            <w:tcW w:w="1247" w:type="dxa"/>
            <w:shd w:val="clear" w:color="auto" w:fill="EDF1F5"/>
            <w:vAlign w:val="center"/>
          </w:tcPr>
          <w:p w14:paraId="677B8A94"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87,301</w:t>
            </w:r>
          </w:p>
        </w:tc>
        <w:tc>
          <w:tcPr>
            <w:tcW w:w="3515" w:type="dxa"/>
            <w:shd w:val="clear" w:color="auto" w:fill="EDF1F5"/>
            <w:vAlign w:val="center"/>
          </w:tcPr>
          <w:p w14:paraId="09802E2E"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kept as text, trimmed only (no case change)</w:t>
            </w:r>
          </w:p>
        </w:tc>
      </w:tr>
      <w:tr w:rsidR="00E86255" w14:paraId="309DD1CE"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4298E1E7" w14:textId="77777777" w:rsidR="00E86255" w:rsidRDefault="00346CDB" w:rsidP="00EC53EE">
            <w:pPr>
              <w:spacing w:before="40" w:after="40"/>
              <w:jc w:val="both"/>
            </w:pPr>
            <w:r>
              <w:rPr>
                <w:color w:val="1A1A1A"/>
                <w:sz w:val="17"/>
              </w:rPr>
              <w:t>completion_date</w:t>
            </w:r>
          </w:p>
        </w:tc>
        <w:tc>
          <w:tcPr>
            <w:tcW w:w="2494" w:type="dxa"/>
            <w:vAlign w:val="center"/>
          </w:tcPr>
          <w:p w14:paraId="7E1F3FFE"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the literal "Uncompleted"</w:t>
            </w:r>
          </w:p>
        </w:tc>
        <w:tc>
          <w:tcPr>
            <w:tcW w:w="1247" w:type="dxa"/>
            <w:vAlign w:val="center"/>
          </w:tcPr>
          <w:p w14:paraId="0FE6F4C1"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81,453</w:t>
            </w:r>
          </w:p>
        </w:tc>
        <w:tc>
          <w:tcPr>
            <w:tcW w:w="3515" w:type="dxa"/>
            <w:vAlign w:val="center"/>
          </w:tcPr>
          <w:p w14:paraId="2A483ECC"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kept as text</w:t>
            </w:r>
          </w:p>
        </w:tc>
      </w:tr>
      <w:tr w:rsidR="00E86255" w14:paraId="300F4842"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EDF1F5"/>
            <w:vAlign w:val="center"/>
          </w:tcPr>
          <w:p w14:paraId="3186A06E" w14:textId="77777777" w:rsidR="00E86255" w:rsidRDefault="00346CDB" w:rsidP="00EC53EE">
            <w:pPr>
              <w:spacing w:before="40" w:after="40"/>
              <w:jc w:val="both"/>
            </w:pPr>
            <w:r>
              <w:rPr>
                <w:color w:val="1A1A1A"/>
                <w:sz w:val="17"/>
              </w:rPr>
              <w:t>completion_date</w:t>
            </w:r>
          </w:p>
        </w:tc>
        <w:tc>
          <w:tcPr>
            <w:tcW w:w="2494" w:type="dxa"/>
            <w:shd w:val="clear" w:color="auto" w:fill="EDF1F5"/>
            <w:vAlign w:val="center"/>
          </w:tcPr>
          <w:p w14:paraId="14C57893"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the literal "-"</w:t>
            </w:r>
          </w:p>
        </w:tc>
        <w:tc>
          <w:tcPr>
            <w:tcW w:w="1247" w:type="dxa"/>
            <w:shd w:val="clear" w:color="auto" w:fill="EDF1F5"/>
            <w:vAlign w:val="center"/>
          </w:tcPr>
          <w:p w14:paraId="76AF665B"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1,470</w:t>
            </w:r>
          </w:p>
        </w:tc>
        <w:tc>
          <w:tcPr>
            <w:tcW w:w="3515" w:type="dxa"/>
            <w:shd w:val="clear" w:color="auto" w:fill="EDF1F5"/>
            <w:vAlign w:val="center"/>
          </w:tcPr>
          <w:p w14:paraId="41F6B1C9"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kept as text, not nulled</w:t>
            </w:r>
          </w:p>
        </w:tc>
      </w:tr>
    </w:tbl>
    <w:p w14:paraId="5553D674" w14:textId="77777777" w:rsidR="00E86255" w:rsidRDefault="00346CDB" w:rsidP="00FD468E">
      <w:pPr>
        <w:keepLines/>
        <w:spacing w:before="60" w:after="160"/>
        <w:ind w:firstLine="720"/>
        <w:jc w:val="both"/>
      </w:pPr>
      <w:r>
        <w:rPr>
          <w:i/>
          <w:color w:val="555C64"/>
          <w:sz w:val="17"/>
        </w:rPr>
        <w:t>Table 2 — The cleaning problems that drove the staging design. Counts measured across all 19 raw CSV files.</w:t>
      </w:r>
    </w:p>
    <w:p w14:paraId="0C570F1D" w14:textId="77777777" w:rsidR="00E86255" w:rsidRDefault="00346CDB" w:rsidP="00EC53EE">
      <w:pPr>
        <w:pStyle w:val="Heading1"/>
        <w:jc w:val="both"/>
      </w:pPr>
      <w:r>
        <w:lastRenderedPageBreak/>
        <w:t>3. Architecture</w:t>
      </w:r>
    </w:p>
    <w:p w14:paraId="02EB7F64" w14:textId="77777777" w:rsidR="00E86255" w:rsidRDefault="00346CDB" w:rsidP="00EC53EE">
      <w:pPr>
        <w:spacing w:after="140"/>
        <w:jc w:val="both"/>
      </w:pPr>
      <w:r>
        <w:rPr>
          <w:color w:val="1A1A1A"/>
          <w:sz w:val="21"/>
        </w:rPr>
        <w:t>The pipeline runs in three stages. The architectural point worth noticing is where each stage executes: only dbt's SQL runs inside BigQuery. dbt itself, Meltano, Great Expectations and the analysis notebook all run on the analyst's machine — dbt compiles SQL and sends it to the warehouse, so no data is pulled down to transform it.</w:t>
      </w:r>
    </w:p>
    <w:p w14:paraId="1F82C71E" w14:textId="77777777" w:rsidR="00E86255" w:rsidRDefault="00346CDB" w:rsidP="00EC53EE">
      <w:pPr>
        <w:spacing w:before="120" w:after="60"/>
        <w:jc w:val="both"/>
      </w:pPr>
      <w:r>
        <w:rPr>
          <w:noProof/>
        </w:rPr>
        <w:drawing>
          <wp:inline distT="0" distB="0" distL="0" distR="0" wp14:anchorId="51B6D37C" wp14:editId="432036AD">
            <wp:extent cx="56808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architecture.png"/>
                    <pic:cNvPicPr/>
                  </pic:nvPicPr>
                  <pic:blipFill>
                    <a:blip r:embed="rId8"/>
                    <a:stretch>
                      <a:fillRect/>
                    </a:stretch>
                  </pic:blipFill>
                  <pic:spPr>
                    <a:xfrm>
                      <a:off x="0" y="0"/>
                      <a:ext cx="5691357" cy="3988849"/>
                    </a:xfrm>
                    <a:prstGeom prst="rect">
                      <a:avLst/>
                    </a:prstGeom>
                  </pic:spPr>
                </pic:pic>
              </a:graphicData>
            </a:graphic>
          </wp:inline>
        </w:drawing>
      </w:r>
    </w:p>
    <w:p w14:paraId="771D8EAF" w14:textId="77777777" w:rsidR="00E86255" w:rsidRDefault="00346CDB" w:rsidP="00FD468E">
      <w:pPr>
        <w:keepLines/>
        <w:spacing w:before="60" w:after="160"/>
        <w:ind w:left="720"/>
        <w:jc w:val="both"/>
      </w:pPr>
      <w:r>
        <w:rPr>
          <w:i/>
          <w:color w:val="555C64"/>
          <w:sz w:val="17"/>
        </w:rPr>
        <w:t>Figure 1. Pipeline architecture. Orange indicates local execution, blue indicates execution inside BigQuery, and green indicates data read back from the warehouse.</w:t>
      </w:r>
    </w:p>
    <w:p w14:paraId="43F7B6AD" w14:textId="0BEE3CAC" w:rsidR="00E86255" w:rsidRDefault="00346CDB" w:rsidP="00EC53EE">
      <w:pPr>
        <w:pStyle w:val="Heading2"/>
        <w:jc w:val="both"/>
      </w:pPr>
      <w:r>
        <w:t xml:space="preserve">3.1 </w:t>
      </w:r>
      <w:r w:rsidR="00B8010F">
        <w:t>T</w:t>
      </w:r>
      <w:r>
        <w:t>ools</w:t>
      </w:r>
      <w:r w:rsidR="003C3F41">
        <w:t xml:space="preserve"> </w:t>
      </w:r>
      <w:r w:rsidR="00F13777">
        <w:t>used</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1321"/>
        <w:gridCol w:w="2473"/>
        <w:gridCol w:w="2374"/>
        <w:gridCol w:w="3592"/>
      </w:tblGrid>
      <w:tr w:rsidR="00964850" w14:paraId="48CDE694" w14:textId="77777777" w:rsidTr="00486D8B">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321" w:type="dxa"/>
            <w:shd w:val="clear" w:color="auto" w:fill="183756"/>
            <w:vAlign w:val="center"/>
          </w:tcPr>
          <w:p w14:paraId="1127E24B" w14:textId="77777777" w:rsidR="00964850" w:rsidRDefault="00964850" w:rsidP="00964850">
            <w:pPr>
              <w:spacing w:before="40" w:after="40"/>
              <w:jc w:val="both"/>
            </w:pPr>
            <w:r>
              <w:rPr>
                <w:color w:val="FFFFFF"/>
                <w:sz w:val="17"/>
              </w:rPr>
              <w:t>Stage</w:t>
            </w:r>
          </w:p>
        </w:tc>
        <w:tc>
          <w:tcPr>
            <w:tcW w:w="2473" w:type="dxa"/>
            <w:shd w:val="clear" w:color="auto" w:fill="183756"/>
            <w:vAlign w:val="center"/>
          </w:tcPr>
          <w:p w14:paraId="422109BF" w14:textId="5F58F8DC" w:rsidR="00964850" w:rsidRPr="00B8010F" w:rsidRDefault="00964850" w:rsidP="00964850">
            <w:pPr>
              <w:spacing w:before="40" w:after="40"/>
              <w:jc w:val="both"/>
              <w:cnfStyle w:val="100000000000" w:firstRow="1" w:lastRow="0" w:firstColumn="0" w:lastColumn="0" w:oddVBand="0" w:evenVBand="0" w:oddHBand="0" w:evenHBand="0" w:firstRowFirstColumn="0" w:firstRowLastColumn="0" w:lastRowFirstColumn="0" w:lastRowLastColumn="0"/>
              <w:rPr>
                <w:color w:val="FFFFFF"/>
                <w:sz w:val="17"/>
              </w:rPr>
            </w:pPr>
            <w:r w:rsidRPr="00B8010F">
              <w:rPr>
                <w:color w:val="FFFFFF"/>
                <w:sz w:val="17"/>
              </w:rPr>
              <w:t>Tools used</w:t>
            </w:r>
          </w:p>
        </w:tc>
        <w:tc>
          <w:tcPr>
            <w:tcW w:w="2374" w:type="dxa"/>
            <w:shd w:val="clear" w:color="auto" w:fill="183756"/>
          </w:tcPr>
          <w:p w14:paraId="54198D79" w14:textId="4B055BF5" w:rsidR="00964850" w:rsidRDefault="00964850" w:rsidP="00964850">
            <w:pPr>
              <w:spacing w:before="40" w:after="40"/>
              <w:jc w:val="both"/>
              <w:cnfStyle w:val="100000000000" w:firstRow="1" w:lastRow="0" w:firstColumn="0" w:lastColumn="0" w:oddVBand="0" w:evenVBand="0" w:oddHBand="0" w:evenHBand="0" w:firstRowFirstColumn="0" w:firstRowLastColumn="0" w:lastRowFirstColumn="0" w:lastRowLastColumn="0"/>
              <w:rPr>
                <w:color w:val="FFFFFF"/>
                <w:sz w:val="17"/>
              </w:rPr>
            </w:pPr>
            <w:r>
              <w:rPr>
                <w:b w:val="0"/>
                <w:color w:val="FFFFFF"/>
                <w:sz w:val="18"/>
              </w:rPr>
              <w:t>Considered instead</w:t>
            </w:r>
          </w:p>
        </w:tc>
        <w:tc>
          <w:tcPr>
            <w:tcW w:w="3592" w:type="dxa"/>
            <w:shd w:val="clear" w:color="auto" w:fill="183756"/>
            <w:vAlign w:val="center"/>
          </w:tcPr>
          <w:p w14:paraId="2A242C8D" w14:textId="60D485B0" w:rsidR="00964850" w:rsidRDefault="00964850" w:rsidP="00964850">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Why the choice</w:t>
            </w:r>
          </w:p>
        </w:tc>
      </w:tr>
      <w:tr w:rsidR="00964850" w14:paraId="4A77EF66" w14:textId="77777777" w:rsidTr="00486D8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21" w:type="dxa"/>
            <w:vAlign w:val="center"/>
          </w:tcPr>
          <w:p w14:paraId="1E138EF0" w14:textId="77777777" w:rsidR="00964850" w:rsidRDefault="00964850" w:rsidP="00964850">
            <w:pPr>
              <w:spacing w:before="40" w:after="40"/>
              <w:jc w:val="both"/>
            </w:pPr>
            <w:r>
              <w:rPr>
                <w:color w:val="1A1A1A"/>
                <w:sz w:val="17"/>
              </w:rPr>
              <w:t>Local staging</w:t>
            </w:r>
          </w:p>
        </w:tc>
        <w:tc>
          <w:tcPr>
            <w:tcW w:w="2473" w:type="dxa"/>
            <w:vAlign w:val="center"/>
          </w:tcPr>
          <w:p w14:paraId="6F5F587D" w14:textId="77777777"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DuckDB</w:t>
            </w:r>
          </w:p>
        </w:tc>
        <w:tc>
          <w:tcPr>
            <w:tcW w:w="2374" w:type="dxa"/>
          </w:tcPr>
          <w:p w14:paraId="28B75230" w14:textId="27A5902F"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rPr>
                <w:color w:val="1A1A1A"/>
                <w:sz w:val="17"/>
              </w:rPr>
            </w:pPr>
            <w:r>
              <w:rPr>
                <w:sz w:val="18"/>
              </w:rPr>
              <w:t>a combined CSV or Parquet file; loading the 19 CSVs straight to BigQuery</w:t>
            </w:r>
          </w:p>
        </w:tc>
        <w:tc>
          <w:tcPr>
            <w:tcW w:w="3592" w:type="dxa"/>
            <w:vAlign w:val="center"/>
          </w:tcPr>
          <w:p w14:paraId="26A95D95" w14:textId="7355414E"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pandas concatenates the files; DuckDB persists the result as a single durable table that stage 1b can read, and lets the row count be verified with one SQL query before anything leaves the machine. A flat file would give no way to query it; going straight to BigQuery would put unverified data in the warehouse.</w:t>
            </w:r>
          </w:p>
        </w:tc>
      </w:tr>
      <w:tr w:rsidR="00964850" w14:paraId="2C0432EC" w14:textId="77777777" w:rsidTr="00486D8B">
        <w:trPr>
          <w:cantSplit/>
          <w:jc w:val="center"/>
        </w:trPr>
        <w:tc>
          <w:tcPr>
            <w:cnfStyle w:val="001000000000" w:firstRow="0" w:lastRow="0" w:firstColumn="1" w:lastColumn="0" w:oddVBand="0" w:evenVBand="0" w:oddHBand="0" w:evenHBand="0" w:firstRowFirstColumn="0" w:firstRowLastColumn="0" w:lastRowFirstColumn="0" w:lastRowLastColumn="0"/>
            <w:tcW w:w="1321" w:type="dxa"/>
            <w:shd w:val="clear" w:color="auto" w:fill="EDF1F5"/>
            <w:vAlign w:val="center"/>
          </w:tcPr>
          <w:p w14:paraId="762806D3" w14:textId="77777777" w:rsidR="00964850" w:rsidRDefault="00964850" w:rsidP="00964850">
            <w:pPr>
              <w:spacing w:before="40" w:after="40"/>
              <w:jc w:val="both"/>
            </w:pPr>
            <w:r>
              <w:rPr>
                <w:color w:val="1A1A1A"/>
                <w:sz w:val="17"/>
              </w:rPr>
              <w:t>Load</w:t>
            </w:r>
          </w:p>
        </w:tc>
        <w:tc>
          <w:tcPr>
            <w:tcW w:w="2473" w:type="dxa"/>
            <w:shd w:val="clear" w:color="auto" w:fill="EDF1F5"/>
            <w:vAlign w:val="center"/>
          </w:tcPr>
          <w:p w14:paraId="789AC6A2" w14:textId="77777777"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Meltano (tap-duckdb → target-bigquery)</w:t>
            </w:r>
          </w:p>
        </w:tc>
        <w:tc>
          <w:tcPr>
            <w:tcW w:w="2374" w:type="dxa"/>
            <w:shd w:val="clear" w:color="auto" w:fill="EDF1F5"/>
          </w:tcPr>
          <w:p w14:paraId="6305D551" w14:textId="15992E2C"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rPr>
                <w:color w:val="1A1A1A"/>
                <w:sz w:val="17"/>
              </w:rPr>
            </w:pPr>
            <w:r>
              <w:rPr>
                <w:sz w:val="18"/>
              </w:rPr>
              <w:t>a hand-written Python loader</w:t>
            </w:r>
          </w:p>
        </w:tc>
        <w:tc>
          <w:tcPr>
            <w:tcW w:w="3592" w:type="dxa"/>
            <w:shd w:val="clear" w:color="auto" w:fill="EDF1F5"/>
            <w:vAlign w:val="center"/>
          </w:tcPr>
          <w:p w14:paraId="2E2DBEF9" w14:textId="1BD8B0DD"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The Singer spec gives a verifiable record count at the boundary; the alternative would have to re-implement batching and schema mapping.</w:t>
            </w:r>
          </w:p>
        </w:tc>
      </w:tr>
      <w:tr w:rsidR="00964850" w14:paraId="3657A117" w14:textId="77777777" w:rsidTr="00486D8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21" w:type="dxa"/>
            <w:vAlign w:val="center"/>
          </w:tcPr>
          <w:p w14:paraId="382240C1" w14:textId="77777777" w:rsidR="00964850" w:rsidRDefault="00964850" w:rsidP="00964850">
            <w:pPr>
              <w:spacing w:before="40" w:after="40"/>
              <w:jc w:val="both"/>
            </w:pPr>
            <w:r>
              <w:rPr>
                <w:color w:val="1A1A1A"/>
                <w:sz w:val="17"/>
              </w:rPr>
              <w:t>Transform</w:t>
            </w:r>
          </w:p>
        </w:tc>
        <w:tc>
          <w:tcPr>
            <w:tcW w:w="2473" w:type="dxa"/>
            <w:vAlign w:val="center"/>
          </w:tcPr>
          <w:p w14:paraId="151B0EB9" w14:textId="77777777"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dbt</w:t>
            </w:r>
          </w:p>
        </w:tc>
        <w:tc>
          <w:tcPr>
            <w:tcW w:w="2374" w:type="dxa"/>
          </w:tcPr>
          <w:p w14:paraId="22AD9B72" w14:textId="308D1252"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rPr>
                <w:color w:val="1A1A1A"/>
                <w:sz w:val="17"/>
              </w:rPr>
            </w:pPr>
            <w:r>
              <w:rPr>
                <w:sz w:val="18"/>
              </w:rPr>
              <w:t>raw SQL scripts; stored procedures</w:t>
            </w:r>
          </w:p>
        </w:tc>
        <w:tc>
          <w:tcPr>
            <w:tcW w:w="3592" w:type="dxa"/>
            <w:vAlign w:val="center"/>
          </w:tcPr>
          <w:p w14:paraId="76ABC2A8" w14:textId="71D565C1"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Lineage is inferred from ref() and source() rather than declared, and tests live beside the models they test. dbt build also interleaves models and tests, so a model whose tests fail does not pass bad data to its children.</w:t>
            </w:r>
          </w:p>
        </w:tc>
      </w:tr>
      <w:tr w:rsidR="00964850" w14:paraId="47F94098" w14:textId="77777777" w:rsidTr="00486D8B">
        <w:trPr>
          <w:cantSplit/>
          <w:jc w:val="center"/>
        </w:trPr>
        <w:tc>
          <w:tcPr>
            <w:cnfStyle w:val="001000000000" w:firstRow="0" w:lastRow="0" w:firstColumn="1" w:lastColumn="0" w:oddVBand="0" w:evenVBand="0" w:oddHBand="0" w:evenHBand="0" w:firstRowFirstColumn="0" w:firstRowLastColumn="0" w:lastRowFirstColumn="0" w:lastRowLastColumn="0"/>
            <w:tcW w:w="1321" w:type="dxa"/>
            <w:shd w:val="clear" w:color="auto" w:fill="EDF1F5"/>
            <w:vAlign w:val="center"/>
          </w:tcPr>
          <w:p w14:paraId="5ACBC526" w14:textId="77777777" w:rsidR="00964850" w:rsidRDefault="00964850" w:rsidP="00964850">
            <w:pPr>
              <w:spacing w:before="40" w:after="40"/>
              <w:jc w:val="both"/>
            </w:pPr>
            <w:r>
              <w:rPr>
                <w:color w:val="1A1A1A"/>
                <w:sz w:val="17"/>
              </w:rPr>
              <w:t>Warehouse</w:t>
            </w:r>
          </w:p>
        </w:tc>
        <w:tc>
          <w:tcPr>
            <w:tcW w:w="2473" w:type="dxa"/>
            <w:shd w:val="clear" w:color="auto" w:fill="EDF1F5"/>
            <w:vAlign w:val="center"/>
          </w:tcPr>
          <w:p w14:paraId="56571BD2" w14:textId="77777777"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Google BigQuery</w:t>
            </w:r>
          </w:p>
        </w:tc>
        <w:tc>
          <w:tcPr>
            <w:tcW w:w="2374" w:type="dxa"/>
            <w:shd w:val="clear" w:color="auto" w:fill="EDF1F5"/>
          </w:tcPr>
          <w:p w14:paraId="6CDE46F2" w14:textId="2F04A071"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rPr>
                <w:color w:val="1A1A1A"/>
                <w:sz w:val="17"/>
              </w:rPr>
            </w:pPr>
            <w:r>
              <w:rPr>
                <w:sz w:val="18"/>
              </w:rPr>
              <w:t>staying in DuckDB; PostgreSQL</w:t>
            </w:r>
          </w:p>
        </w:tc>
        <w:tc>
          <w:tcPr>
            <w:tcW w:w="3592" w:type="dxa"/>
            <w:shd w:val="clear" w:color="auto" w:fill="EDF1F5"/>
            <w:vAlign w:val="center"/>
          </w:tcPr>
          <w:p w14:paraId="4B744EA0" w14:textId="7931217A"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 xml:space="preserve">Separates storage from the analyst's laptop and gives a realistic cloud target. </w:t>
            </w:r>
          </w:p>
        </w:tc>
      </w:tr>
      <w:tr w:rsidR="00964850" w14:paraId="1F5E207F" w14:textId="77777777" w:rsidTr="00486D8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21" w:type="dxa"/>
            <w:vAlign w:val="center"/>
          </w:tcPr>
          <w:p w14:paraId="402FD359" w14:textId="77777777" w:rsidR="00964850" w:rsidRDefault="00964850" w:rsidP="00964850">
            <w:pPr>
              <w:spacing w:before="40" w:after="40"/>
              <w:jc w:val="both"/>
            </w:pPr>
            <w:r>
              <w:rPr>
                <w:color w:val="1A1A1A"/>
                <w:sz w:val="17"/>
              </w:rPr>
              <w:t>Quality</w:t>
            </w:r>
          </w:p>
        </w:tc>
        <w:tc>
          <w:tcPr>
            <w:tcW w:w="2473" w:type="dxa"/>
            <w:vAlign w:val="center"/>
          </w:tcPr>
          <w:p w14:paraId="05CBC5CB" w14:textId="77777777"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Great Expectations + dbt tests</w:t>
            </w:r>
          </w:p>
        </w:tc>
        <w:tc>
          <w:tcPr>
            <w:tcW w:w="2374" w:type="dxa"/>
          </w:tcPr>
          <w:p w14:paraId="15E6ACD4" w14:textId="5F8BE1EB"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rPr>
                <w:color w:val="1A1A1A"/>
                <w:sz w:val="17"/>
              </w:rPr>
            </w:pPr>
            <w:r>
              <w:rPr>
                <w:sz w:val="18"/>
              </w:rPr>
              <w:t>dbt tests alone</w:t>
            </w:r>
          </w:p>
        </w:tc>
        <w:tc>
          <w:tcPr>
            <w:tcW w:w="3592" w:type="dxa"/>
            <w:vAlign w:val="center"/>
          </w:tcPr>
          <w:p w14:paraId="56C003C9" w14:textId="2654950C" w:rsidR="00964850" w:rsidRDefault="00964850" w:rsidP="00964850">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dbt's four built-in tests cover sets, nulls, uniqueness and referential integrity. Numeric ranges and comparisons between two columns need hand-written SQL in dbt — Section 6.2 quantifies how many such rules GX supplies instead.</w:t>
            </w:r>
          </w:p>
        </w:tc>
      </w:tr>
      <w:tr w:rsidR="00964850" w14:paraId="5592A2CC" w14:textId="77777777" w:rsidTr="00486D8B">
        <w:trPr>
          <w:cantSplit/>
          <w:jc w:val="center"/>
        </w:trPr>
        <w:tc>
          <w:tcPr>
            <w:cnfStyle w:val="001000000000" w:firstRow="0" w:lastRow="0" w:firstColumn="1" w:lastColumn="0" w:oddVBand="0" w:evenVBand="0" w:oddHBand="0" w:evenHBand="0" w:firstRowFirstColumn="0" w:firstRowLastColumn="0" w:lastRowFirstColumn="0" w:lastRowLastColumn="0"/>
            <w:tcW w:w="1321" w:type="dxa"/>
            <w:shd w:val="clear" w:color="auto" w:fill="EDF1F5"/>
            <w:vAlign w:val="center"/>
          </w:tcPr>
          <w:p w14:paraId="79115FE1" w14:textId="77777777" w:rsidR="00964850" w:rsidRDefault="00964850" w:rsidP="00964850">
            <w:pPr>
              <w:spacing w:before="40" w:after="40"/>
              <w:jc w:val="both"/>
            </w:pPr>
            <w:r>
              <w:rPr>
                <w:color w:val="1A1A1A"/>
                <w:sz w:val="17"/>
              </w:rPr>
              <w:t>Analysis</w:t>
            </w:r>
          </w:p>
        </w:tc>
        <w:tc>
          <w:tcPr>
            <w:tcW w:w="2473" w:type="dxa"/>
            <w:shd w:val="clear" w:color="auto" w:fill="EDF1F5"/>
            <w:vAlign w:val="center"/>
          </w:tcPr>
          <w:p w14:paraId="2A984056" w14:textId="77777777"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SQLAlchemy + pandas + matplotlib</w:t>
            </w:r>
          </w:p>
        </w:tc>
        <w:tc>
          <w:tcPr>
            <w:tcW w:w="2374" w:type="dxa"/>
            <w:shd w:val="clear" w:color="auto" w:fill="EDF1F5"/>
          </w:tcPr>
          <w:p w14:paraId="66530167" w14:textId="68A25184"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rPr>
                <w:color w:val="1A1A1A"/>
                <w:sz w:val="17"/>
              </w:rPr>
            </w:pPr>
            <w:r>
              <w:rPr>
                <w:sz w:val="18"/>
              </w:rPr>
              <w:t>SQL alone</w:t>
            </w:r>
          </w:p>
        </w:tc>
        <w:tc>
          <w:tcPr>
            <w:tcW w:w="3592" w:type="dxa"/>
            <w:shd w:val="clear" w:color="auto" w:fill="EDF1F5"/>
            <w:vAlign w:val="center"/>
          </w:tcPr>
          <w:p w14:paraId="5D7E6918" w14:textId="4D80EEB9" w:rsidR="00964850" w:rsidRDefault="00964850" w:rsidP="00964850">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The four analyses end in charts, which SQL cannot produce; notebooks also keep the reasoning beside the pipeline in the same repository.</w:t>
            </w:r>
          </w:p>
        </w:tc>
      </w:tr>
    </w:tbl>
    <w:p w14:paraId="757C4738" w14:textId="0E7BA10C" w:rsidR="00E86255" w:rsidRDefault="00F10B25" w:rsidP="00F10B25">
      <w:pPr>
        <w:keepLines/>
        <w:spacing w:before="60" w:after="160"/>
        <w:jc w:val="both"/>
      </w:pPr>
      <w:r>
        <w:rPr>
          <w:i/>
          <w:color w:val="555C64"/>
          <w:sz w:val="17"/>
        </w:rPr>
        <w:lastRenderedPageBreak/>
        <w:t xml:space="preserve">          </w:t>
      </w:r>
      <w:r w:rsidR="00346CDB">
        <w:rPr>
          <w:i/>
          <w:color w:val="555C64"/>
          <w:sz w:val="17"/>
        </w:rPr>
        <w:t>Table 3 — Tool</w:t>
      </w:r>
      <w:r w:rsidR="002A4ABD">
        <w:rPr>
          <w:i/>
          <w:color w:val="555C64"/>
          <w:sz w:val="17"/>
        </w:rPr>
        <w:t>s</w:t>
      </w:r>
      <w:r w:rsidR="00E8141B">
        <w:rPr>
          <w:i/>
          <w:color w:val="555C64"/>
          <w:sz w:val="17"/>
        </w:rPr>
        <w:t xml:space="preserve"> </w:t>
      </w:r>
      <w:r w:rsidR="00F13777">
        <w:rPr>
          <w:i/>
          <w:color w:val="555C64"/>
          <w:sz w:val="17"/>
        </w:rPr>
        <w:t>used</w:t>
      </w:r>
    </w:p>
    <w:p w14:paraId="3BC52AC0" w14:textId="77777777" w:rsidR="00E86255" w:rsidRDefault="00346CDB" w:rsidP="00EC53EE">
      <w:pPr>
        <w:pStyle w:val="Heading1"/>
        <w:jc w:val="both"/>
      </w:pPr>
      <w:r>
        <w:t>4. Data warehouse design</w:t>
      </w:r>
    </w:p>
    <w:p w14:paraId="1605E7E3" w14:textId="77777777" w:rsidR="00E86255" w:rsidRDefault="00346CDB" w:rsidP="00EC53EE">
      <w:pPr>
        <w:pStyle w:val="Heading2"/>
        <w:jc w:val="both"/>
      </w:pPr>
      <w:r>
        <w:t>4.1 The star schema</w:t>
      </w:r>
    </w:p>
    <w:p w14:paraId="7B9DA4A9" w14:textId="77777777" w:rsidR="00E86255" w:rsidRDefault="00346CDB" w:rsidP="00EC53EE">
      <w:pPr>
        <w:spacing w:after="140"/>
        <w:jc w:val="both"/>
      </w:pPr>
      <w:r>
        <w:rPr>
          <w:color w:val="1A1A1A"/>
          <w:sz w:val="21"/>
        </w:rPr>
        <w:t>One fact table carries the measures; two dimensions carry the descriptive attributes. The grain of the fact table is one row per source transaction — the same 170,224 rows that entered the pipeline.</w:t>
      </w:r>
    </w:p>
    <w:p w14:paraId="69C2E63F" w14:textId="77777777" w:rsidR="00E86255" w:rsidRDefault="00346CDB" w:rsidP="0094792E">
      <w:pPr>
        <w:jc w:val="center"/>
      </w:pPr>
      <w:r>
        <w:rPr>
          <w:noProof/>
        </w:rPr>
        <w:drawing>
          <wp:inline distT="0" distB="0" distL="0" distR="0" wp14:anchorId="30A7C6F9" wp14:editId="20EEEAA7">
            <wp:extent cx="4676173" cy="217161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_diagram.png"/>
                    <pic:cNvPicPr/>
                  </pic:nvPicPr>
                  <pic:blipFill>
                    <a:blip r:embed="rId9"/>
                    <a:stretch>
                      <a:fillRect/>
                    </a:stretch>
                  </pic:blipFill>
                  <pic:spPr>
                    <a:xfrm>
                      <a:off x="0" y="0"/>
                      <a:ext cx="4684526" cy="2175496"/>
                    </a:xfrm>
                    <a:prstGeom prst="rect">
                      <a:avLst/>
                    </a:prstGeom>
                  </pic:spPr>
                </pic:pic>
              </a:graphicData>
            </a:graphic>
          </wp:inline>
        </w:drawing>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2608"/>
        <w:gridCol w:w="1361"/>
        <w:gridCol w:w="3175"/>
        <w:gridCol w:w="1020"/>
        <w:gridCol w:w="1020"/>
      </w:tblGrid>
      <w:tr w:rsidR="00E86255" w14:paraId="3B7B760E"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08" w:type="dxa"/>
            <w:shd w:val="clear" w:color="auto" w:fill="183756"/>
            <w:vAlign w:val="center"/>
          </w:tcPr>
          <w:p w14:paraId="7507ECA7" w14:textId="77777777" w:rsidR="00E86255" w:rsidRDefault="00346CDB" w:rsidP="00EC53EE">
            <w:pPr>
              <w:spacing w:before="40" w:after="40"/>
              <w:jc w:val="both"/>
            </w:pPr>
            <w:r>
              <w:rPr>
                <w:color w:val="FFFFFF"/>
                <w:sz w:val="17"/>
              </w:rPr>
              <w:t>Table</w:t>
            </w:r>
          </w:p>
        </w:tc>
        <w:tc>
          <w:tcPr>
            <w:tcW w:w="1361" w:type="dxa"/>
            <w:shd w:val="clear" w:color="auto" w:fill="183756"/>
            <w:vAlign w:val="center"/>
          </w:tcPr>
          <w:p w14:paraId="4C0EC6D7"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3175" w:type="dxa"/>
            <w:shd w:val="clear" w:color="auto" w:fill="183756"/>
            <w:vAlign w:val="center"/>
          </w:tcPr>
          <w:p w14:paraId="6DEF0FD4"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Grain — one row per…</w:t>
            </w:r>
          </w:p>
        </w:tc>
        <w:tc>
          <w:tcPr>
            <w:tcW w:w="1020" w:type="dxa"/>
            <w:shd w:val="clear" w:color="auto" w:fill="183756"/>
            <w:vAlign w:val="center"/>
          </w:tcPr>
          <w:p w14:paraId="073F1D2C"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Columns</w:t>
            </w:r>
          </w:p>
        </w:tc>
        <w:tc>
          <w:tcPr>
            <w:tcW w:w="1020" w:type="dxa"/>
            <w:shd w:val="clear" w:color="auto" w:fill="183756"/>
            <w:vAlign w:val="center"/>
          </w:tcPr>
          <w:p w14:paraId="1B4EDCDB"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Rows</w:t>
            </w:r>
          </w:p>
        </w:tc>
      </w:tr>
      <w:tr w:rsidR="00E86255" w14:paraId="62D3AC79"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A6CCF48" w14:textId="77777777" w:rsidR="00E86255" w:rsidRDefault="00346CDB" w:rsidP="00EC53EE">
            <w:pPr>
              <w:spacing w:before="40" w:after="40"/>
              <w:jc w:val="both"/>
            </w:pPr>
            <w:r>
              <w:rPr>
                <w:color w:val="1A1A1A"/>
                <w:sz w:val="17"/>
              </w:rPr>
              <w:t>fact_transaction</w:t>
            </w:r>
          </w:p>
        </w:tc>
        <w:tc>
          <w:tcPr>
            <w:tcW w:w="1361" w:type="dxa"/>
            <w:vAlign w:val="center"/>
          </w:tcPr>
          <w:p w14:paraId="0B58A89E"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Fact</w:t>
            </w:r>
          </w:p>
        </w:tc>
        <w:tc>
          <w:tcPr>
            <w:tcW w:w="3175" w:type="dxa"/>
            <w:vAlign w:val="center"/>
          </w:tcPr>
          <w:p w14:paraId="6349765C"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source transaction</w:t>
            </w:r>
          </w:p>
        </w:tc>
        <w:tc>
          <w:tcPr>
            <w:tcW w:w="1020" w:type="dxa"/>
            <w:vAlign w:val="center"/>
          </w:tcPr>
          <w:p w14:paraId="144E93C5"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16</w:t>
            </w:r>
          </w:p>
        </w:tc>
        <w:tc>
          <w:tcPr>
            <w:tcW w:w="1020" w:type="dxa"/>
            <w:vAlign w:val="center"/>
          </w:tcPr>
          <w:p w14:paraId="2587B912"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170,224</w:t>
            </w:r>
          </w:p>
        </w:tc>
      </w:tr>
      <w:tr w:rsidR="00E86255" w14:paraId="05FFF009"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2608" w:type="dxa"/>
            <w:shd w:val="clear" w:color="auto" w:fill="EDF1F5"/>
            <w:vAlign w:val="center"/>
          </w:tcPr>
          <w:p w14:paraId="6D8C7BFD" w14:textId="77777777" w:rsidR="00E86255" w:rsidRDefault="00346CDB" w:rsidP="00EC53EE">
            <w:pPr>
              <w:spacing w:before="40" w:after="40"/>
              <w:jc w:val="both"/>
            </w:pPr>
            <w:r>
              <w:rPr>
                <w:color w:val="1A1A1A"/>
                <w:sz w:val="17"/>
              </w:rPr>
              <w:t>dim_project</w:t>
            </w:r>
          </w:p>
        </w:tc>
        <w:tc>
          <w:tcPr>
            <w:tcW w:w="1361" w:type="dxa"/>
            <w:shd w:val="clear" w:color="auto" w:fill="EDF1F5"/>
            <w:vAlign w:val="center"/>
          </w:tcPr>
          <w:p w14:paraId="417D978A"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Dimension</w:t>
            </w:r>
          </w:p>
        </w:tc>
        <w:tc>
          <w:tcPr>
            <w:tcW w:w="3175" w:type="dxa"/>
            <w:shd w:val="clear" w:color="auto" w:fill="EDF1F5"/>
            <w:vAlign w:val="center"/>
          </w:tcPr>
          <w:p w14:paraId="0A2B6214"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distinct project + type + tenure + completion_date</w:t>
            </w:r>
          </w:p>
        </w:tc>
        <w:tc>
          <w:tcPr>
            <w:tcW w:w="1020" w:type="dxa"/>
            <w:shd w:val="clear" w:color="auto" w:fill="EDF1F5"/>
            <w:vAlign w:val="center"/>
          </w:tcPr>
          <w:p w14:paraId="3D5E3DAE"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5</w:t>
            </w:r>
          </w:p>
        </w:tc>
        <w:tc>
          <w:tcPr>
            <w:tcW w:w="1020" w:type="dxa"/>
            <w:shd w:val="clear" w:color="auto" w:fill="EDF1F5"/>
            <w:vAlign w:val="center"/>
          </w:tcPr>
          <w:p w14:paraId="637120B0"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2,947</w:t>
            </w:r>
          </w:p>
        </w:tc>
      </w:tr>
      <w:tr w:rsidR="00E86255" w14:paraId="2636EAA1"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6A8328E" w14:textId="77777777" w:rsidR="00E86255" w:rsidRDefault="00346CDB" w:rsidP="00EC53EE">
            <w:pPr>
              <w:spacing w:before="40" w:after="40"/>
              <w:jc w:val="both"/>
            </w:pPr>
            <w:r>
              <w:rPr>
                <w:color w:val="1A1A1A"/>
                <w:sz w:val="17"/>
              </w:rPr>
              <w:t>dim_location</w:t>
            </w:r>
          </w:p>
        </w:tc>
        <w:tc>
          <w:tcPr>
            <w:tcW w:w="1361" w:type="dxa"/>
            <w:vAlign w:val="center"/>
          </w:tcPr>
          <w:p w14:paraId="3DA84EA6"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Dimension</w:t>
            </w:r>
          </w:p>
        </w:tc>
        <w:tc>
          <w:tcPr>
            <w:tcW w:w="3175" w:type="dxa"/>
            <w:vAlign w:val="center"/>
          </w:tcPr>
          <w:p w14:paraId="7CDE00B5"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distinct address + postal + planning area</w:t>
            </w:r>
          </w:p>
        </w:tc>
        <w:tc>
          <w:tcPr>
            <w:tcW w:w="1020" w:type="dxa"/>
            <w:vAlign w:val="center"/>
          </w:tcPr>
          <w:p w14:paraId="6BCE07C1"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7</w:t>
            </w:r>
          </w:p>
        </w:tc>
        <w:tc>
          <w:tcPr>
            <w:tcW w:w="1020" w:type="dxa"/>
            <w:vAlign w:val="center"/>
          </w:tcPr>
          <w:p w14:paraId="5A0C5572"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153,075</w:t>
            </w:r>
          </w:p>
        </w:tc>
      </w:tr>
      <w:tr w:rsidR="00E86255" w14:paraId="2AAF64F7"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2608" w:type="dxa"/>
            <w:shd w:val="clear" w:color="auto" w:fill="EDF1F5"/>
            <w:vAlign w:val="center"/>
          </w:tcPr>
          <w:p w14:paraId="23D3F1C4" w14:textId="77777777" w:rsidR="00E86255" w:rsidRDefault="00346CDB" w:rsidP="00EC53EE">
            <w:pPr>
              <w:spacing w:before="40" w:after="40"/>
              <w:jc w:val="both"/>
            </w:pPr>
            <w:r>
              <w:rPr>
                <w:color w:val="1A1A1A"/>
                <w:sz w:val="17"/>
              </w:rPr>
              <w:t>stg_property_transactions</w:t>
            </w:r>
          </w:p>
        </w:tc>
        <w:tc>
          <w:tcPr>
            <w:tcW w:w="1361" w:type="dxa"/>
            <w:shd w:val="clear" w:color="auto" w:fill="EDF1F5"/>
            <w:vAlign w:val="center"/>
          </w:tcPr>
          <w:p w14:paraId="14EEA66D"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Staging</w:t>
            </w:r>
          </w:p>
        </w:tc>
        <w:tc>
          <w:tcPr>
            <w:tcW w:w="3175" w:type="dxa"/>
            <w:shd w:val="clear" w:color="auto" w:fill="EDF1F5"/>
            <w:vAlign w:val="center"/>
          </w:tcPr>
          <w:p w14:paraId="22735C3F"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source transaction (cleaned, typed)</w:t>
            </w:r>
          </w:p>
        </w:tc>
        <w:tc>
          <w:tcPr>
            <w:tcW w:w="1020" w:type="dxa"/>
            <w:shd w:val="clear" w:color="auto" w:fill="EDF1F5"/>
            <w:vAlign w:val="center"/>
          </w:tcPr>
          <w:p w14:paraId="3EA69CA7"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21</w:t>
            </w:r>
          </w:p>
        </w:tc>
        <w:tc>
          <w:tcPr>
            <w:tcW w:w="1020" w:type="dxa"/>
            <w:shd w:val="clear" w:color="auto" w:fill="EDF1F5"/>
            <w:vAlign w:val="center"/>
          </w:tcPr>
          <w:p w14:paraId="18D47C40"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170,224</w:t>
            </w:r>
          </w:p>
        </w:tc>
      </w:tr>
      <w:tr w:rsidR="00E86255" w14:paraId="49FF118A"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5C116AC" w14:textId="77777777" w:rsidR="00E86255" w:rsidRDefault="00346CDB" w:rsidP="00EC53EE">
            <w:pPr>
              <w:spacing w:before="40" w:after="40"/>
              <w:jc w:val="both"/>
            </w:pPr>
            <w:r>
              <w:rPr>
                <w:color w:val="1A1A1A"/>
                <w:sz w:val="17"/>
              </w:rPr>
              <w:t>raw_property_trans</w:t>
            </w:r>
          </w:p>
        </w:tc>
        <w:tc>
          <w:tcPr>
            <w:tcW w:w="1361" w:type="dxa"/>
            <w:vAlign w:val="center"/>
          </w:tcPr>
          <w:p w14:paraId="7B8F8E23"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Raw landing</w:t>
            </w:r>
          </w:p>
        </w:tc>
        <w:tc>
          <w:tcPr>
            <w:tcW w:w="3175" w:type="dxa"/>
            <w:vAlign w:val="center"/>
          </w:tcPr>
          <w:p w14:paraId="4D4CC3C2"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source transaction (all text)</w:t>
            </w:r>
          </w:p>
        </w:tc>
        <w:tc>
          <w:tcPr>
            <w:tcW w:w="1020" w:type="dxa"/>
            <w:vAlign w:val="center"/>
          </w:tcPr>
          <w:p w14:paraId="14FECAD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21</w:t>
            </w:r>
          </w:p>
        </w:tc>
        <w:tc>
          <w:tcPr>
            <w:tcW w:w="1020" w:type="dxa"/>
            <w:vAlign w:val="center"/>
          </w:tcPr>
          <w:p w14:paraId="0DB73F2B"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170,224</w:t>
            </w:r>
          </w:p>
        </w:tc>
      </w:tr>
    </w:tbl>
    <w:p w14:paraId="5950A875" w14:textId="6771004A" w:rsidR="004B5C21" w:rsidRDefault="00BE11AE" w:rsidP="00BE11AE">
      <w:pPr>
        <w:keepLines/>
        <w:spacing w:before="60" w:after="160"/>
        <w:jc w:val="both"/>
      </w:pPr>
      <w:r>
        <w:rPr>
          <w:i/>
          <w:color w:val="555C64"/>
          <w:sz w:val="17"/>
        </w:rPr>
        <w:t xml:space="preserve">     </w:t>
      </w:r>
      <w:r w:rsidR="004B5C21">
        <w:rPr>
          <w:i/>
          <w:color w:val="555C64"/>
          <w:sz w:val="17"/>
        </w:rPr>
        <w:t>Figure 2. Star-schema overview. The fact table joins to the project and location dimensions through surrogate keys.</w:t>
      </w:r>
    </w:p>
    <w:p w14:paraId="065B7BBB" w14:textId="77777777" w:rsidR="00E86255" w:rsidRDefault="00346CDB" w:rsidP="00EC53EE">
      <w:pPr>
        <w:pStyle w:val="Heading2"/>
        <w:jc w:val="both"/>
      </w:pPr>
      <w:r>
        <w:t>4.2 Why a star schema, and how it supports querying</w:t>
      </w:r>
    </w:p>
    <w:p w14:paraId="7EA665A2" w14:textId="77777777" w:rsidR="00E86255" w:rsidRDefault="00346CDB" w:rsidP="00EC53EE">
      <w:pPr>
        <w:spacing w:after="140"/>
        <w:jc w:val="both"/>
      </w:pPr>
      <w:r>
        <w:t>The design supports the analysis in Section 7 in three practical ways.</w:t>
      </w:r>
    </w:p>
    <w:p w14:paraId="5095FA9A" w14:textId="77777777" w:rsidR="00E86255" w:rsidRDefault="00346CDB" w:rsidP="00EC53EE">
      <w:pPr>
        <w:pStyle w:val="ListBullet"/>
        <w:spacing w:after="60"/>
        <w:jc w:val="both"/>
      </w:pPr>
      <w:r>
        <w:rPr>
          <w:color w:val="1A1A1A"/>
          <w:sz w:val="21"/>
        </w:rPr>
        <w:t>Every analytical question becomes one join, never a chain. "Median price per square foot by planning region" is fact → dim_location and nothing else. A normalised design would route the same question through a project → address → postal code → planning area chain.</w:t>
      </w:r>
    </w:p>
    <w:p w14:paraId="24BBBE70" w14:textId="77777777" w:rsidR="00E86255" w:rsidRDefault="00346CDB" w:rsidP="00EC53EE">
      <w:pPr>
        <w:pStyle w:val="ListBullet"/>
        <w:spacing w:after="60"/>
        <w:jc w:val="both"/>
      </w:pPr>
      <w:r>
        <w:rPr>
          <w:color w:val="1A1A1A"/>
          <w:sz w:val="21"/>
        </w:rPr>
        <w:t>The dimensions are small enough to broadcast. dim_project is 2,947 rows against a 170,224-row fact table, so BigQuery can hold it in memory on every worker rather than shuffling the fact table across the cluster.</w:t>
      </w:r>
    </w:p>
    <w:p w14:paraId="51859605" w14:textId="77777777" w:rsidR="00E86255" w:rsidRDefault="00346CDB" w:rsidP="00EC53EE">
      <w:pPr>
        <w:pStyle w:val="ListBullet"/>
        <w:spacing w:after="60"/>
        <w:jc w:val="both"/>
      </w:pPr>
      <w:r>
        <w:rPr>
          <w:color w:val="1A1A1A"/>
          <w:sz w:val="21"/>
        </w:rPr>
        <w:t>Descriptive text is stored once per distinct combination, not once per transaction. The project name "Treasure At Tampines" is stored once in dim_project, not repeated across its 2,208 transactions.</w:t>
      </w:r>
    </w:p>
    <w:p w14:paraId="0CD914A9" w14:textId="77777777" w:rsidR="00E86255" w:rsidRDefault="00346CDB" w:rsidP="00EC53EE">
      <w:pPr>
        <w:spacing w:after="140"/>
        <w:jc w:val="both"/>
      </w:pPr>
      <w:r>
        <w:rPr>
          <w:color w:val="1A1A1A"/>
          <w:sz w:val="21"/>
        </w:rPr>
        <w:t>The surrogate keys are generated with FARM_FINGERPRINT over the dimension's natural key combination. This matters because the natural keys are not unique on their own: of the 2,947 project rows, several project names carry more than one completion date, so project name alone would fan the fact table out and inflate every sum. Both dimension keys carry not_null and unique tests precisely to catch that.</w:t>
      </w:r>
    </w:p>
    <w:p w14:paraId="7EFA5EDF" w14:textId="77777777" w:rsidR="00E86255" w:rsidRDefault="00346CDB" w:rsidP="00EC53EE">
      <w:pPr>
        <w:pStyle w:val="Heading1"/>
        <w:jc w:val="both"/>
      </w:pPr>
      <w:r>
        <w:t>5. The ELT pipeline, stage by stage</w:t>
      </w:r>
    </w:p>
    <w:p w14:paraId="66169C27" w14:textId="77777777" w:rsidR="00E86255" w:rsidRDefault="00346CDB" w:rsidP="00EC53EE">
      <w:pPr>
        <w:pStyle w:val="Heading2"/>
        <w:jc w:val="both"/>
      </w:pPr>
      <w:r>
        <w:t>5.1 Ingestion — 1a_data_ingestion/notebook/pipeline.ipynb</w:t>
      </w:r>
    </w:p>
    <w:p w14:paraId="0C7169D9" w14:textId="77777777" w:rsidR="00E86255" w:rsidRDefault="00346CDB" w:rsidP="00EC53EE">
      <w:pPr>
        <w:spacing w:after="140"/>
        <w:jc w:val="both"/>
      </w:pPr>
      <w:r>
        <w:rPr>
          <w:color w:val="1A1A1A"/>
          <w:sz w:val="21"/>
        </w:rPr>
        <w:t xml:space="preserve">Reads all 19 CSVs from Data/Raw_data/, detecting encoding per file (UTF-8 with a cp1252 fallback — the files contain non-breaking spaces that break a strict UTF-8 read), concatenates them, and writes a single </w:t>
      </w:r>
      <w:r>
        <w:rPr>
          <w:color w:val="1A1A1A"/>
          <w:sz w:val="21"/>
        </w:rPr>
        <w:lastRenderedPageBreak/>
        <w:t xml:space="preserve">DuckDB table. The notebook then reopens the database read-only and asserts that the persisted row count matches what was ingested. </w:t>
      </w:r>
    </w:p>
    <w:p w14:paraId="75F66FF6" w14:textId="77777777" w:rsidR="00E86255" w:rsidRDefault="00346CDB" w:rsidP="00EC53EE">
      <w:pPr>
        <w:pStyle w:val="Heading2"/>
        <w:jc w:val="both"/>
      </w:pPr>
      <w:r>
        <w:t>5.2 Extract and load — 1b_data_extraction/meltano.yml</w:t>
      </w:r>
    </w:p>
    <w:p w14:paraId="0A32312C" w14:textId="77777777" w:rsidR="00E86255" w:rsidRDefault="00346CDB" w:rsidP="00EC53EE">
      <w:pPr>
        <w:spacing w:after="140"/>
        <w:jc w:val="both"/>
      </w:pPr>
      <w:r>
        <w:rPr>
          <w:color w:val="1A1A1A"/>
          <w:sz w:val="21"/>
        </w:rPr>
        <w:t>Meltano moves the DuckDB table to BigQuery using tap-duckdb and target-bigquery, landing it as raw_property_trans. Every column lands as a string. This is deliberate: type inference at the loader would turn "987,000" into a null and leave no record of what was there. Loading as text and casting in SQL means nothing is lost in transit, and the cleaning rules appear in version control where they can be reviewed and tested.</w:t>
      </w:r>
    </w:p>
    <w:p w14:paraId="429521C0" w14:textId="77777777" w:rsidR="00E86255" w:rsidRDefault="00346CDB" w:rsidP="00EC53EE">
      <w:pPr>
        <w:pStyle w:val="Heading2"/>
        <w:jc w:val="both"/>
      </w:pPr>
      <w:r>
        <w:t>5.3 Transform — the staging model</w:t>
      </w:r>
    </w:p>
    <w:p w14:paraId="6E3CA880" w14:textId="77777777" w:rsidR="00E86255" w:rsidRDefault="00346CDB" w:rsidP="00EC53EE">
      <w:pPr>
        <w:spacing w:after="140"/>
        <w:jc w:val="both"/>
      </w:pPr>
      <w:r>
        <w:rPr>
          <w:color w:val="1A1A1A"/>
          <w:sz w:val="21"/>
        </w:rPr>
        <w:t>stg_property_transactions applies one cleaning rule per column and nothing else. It does not filter rows, so it is a faithful typed copy of the source: 170,224 rows in, 170,224 out.</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2948"/>
        <w:gridCol w:w="2381"/>
        <w:gridCol w:w="3855"/>
      </w:tblGrid>
      <w:tr w:rsidR="00E86255" w14:paraId="155D148A"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183756"/>
            <w:vAlign w:val="center"/>
          </w:tcPr>
          <w:p w14:paraId="281929F7" w14:textId="77777777" w:rsidR="00E86255" w:rsidRDefault="00346CDB" w:rsidP="00EC53EE">
            <w:pPr>
              <w:spacing w:before="40" w:after="40"/>
              <w:jc w:val="both"/>
            </w:pPr>
            <w:r>
              <w:rPr>
                <w:color w:val="FFFFFF"/>
                <w:sz w:val="17"/>
              </w:rPr>
              <w:t>Rule</w:t>
            </w:r>
          </w:p>
        </w:tc>
        <w:tc>
          <w:tcPr>
            <w:tcW w:w="2381" w:type="dxa"/>
            <w:shd w:val="clear" w:color="auto" w:fill="183756"/>
            <w:vAlign w:val="center"/>
          </w:tcPr>
          <w:p w14:paraId="686BBF1F"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Applied to</w:t>
            </w:r>
          </w:p>
        </w:tc>
        <w:tc>
          <w:tcPr>
            <w:tcW w:w="3855" w:type="dxa"/>
            <w:shd w:val="clear" w:color="auto" w:fill="183756"/>
            <w:vAlign w:val="center"/>
          </w:tcPr>
          <w:p w14:paraId="088FF2AA"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What it fixes</w:t>
            </w:r>
          </w:p>
        </w:tc>
      </w:tr>
      <w:tr w:rsidR="00E86255" w14:paraId="3C8F2166"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948" w:type="dxa"/>
            <w:vAlign w:val="center"/>
          </w:tcPr>
          <w:p w14:paraId="2EE9AF20" w14:textId="77777777" w:rsidR="00E86255" w:rsidRDefault="00346CDB" w:rsidP="00EC53EE">
            <w:pPr>
              <w:spacing w:before="40" w:after="40"/>
              <w:jc w:val="both"/>
            </w:pPr>
            <w:r>
              <w:rPr>
                <w:color w:val="1A1A1A"/>
                <w:sz w:val="17"/>
              </w:rPr>
              <w:t>SAFE_CAST after stripping non-numerics</w:t>
            </w:r>
          </w:p>
        </w:tc>
        <w:tc>
          <w:tcPr>
            <w:tcW w:w="2381" w:type="dxa"/>
            <w:vAlign w:val="center"/>
          </w:tcPr>
          <w:p w14:paraId="55F032EB"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7 price and area columns</w:t>
            </w:r>
          </w:p>
        </w:tc>
        <w:tc>
          <w:tcPr>
            <w:tcW w:w="3855" w:type="dxa"/>
            <w:vAlign w:val="center"/>
          </w:tcPr>
          <w:p w14:paraId="7ADE4878"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Thousands separators; a failed cast yields null instead of aborting the build</w:t>
            </w:r>
          </w:p>
        </w:tc>
      </w:tr>
      <w:tr w:rsidR="00E86255" w14:paraId="574900B7"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EDF1F5"/>
            <w:vAlign w:val="center"/>
          </w:tcPr>
          <w:p w14:paraId="5A011EFE" w14:textId="77777777" w:rsidR="00E86255" w:rsidRDefault="00346CDB" w:rsidP="00EC53EE">
            <w:pPr>
              <w:spacing w:before="40" w:after="40"/>
              <w:jc w:val="both"/>
            </w:pPr>
            <w:r>
              <w:rPr>
                <w:color w:val="1A1A1A"/>
                <w:sz w:val="17"/>
              </w:rPr>
              <w:t>SAFE.PARSE_DATE('%d %b %Y', …)</w:t>
            </w:r>
          </w:p>
        </w:tc>
        <w:tc>
          <w:tcPr>
            <w:tcW w:w="2381" w:type="dxa"/>
            <w:shd w:val="clear" w:color="auto" w:fill="EDF1F5"/>
            <w:vAlign w:val="center"/>
          </w:tcPr>
          <w:p w14:paraId="780EE769"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sale_date</w:t>
            </w:r>
          </w:p>
        </w:tc>
        <w:tc>
          <w:tcPr>
            <w:tcW w:w="3855" w:type="dxa"/>
            <w:shd w:val="clear" w:color="auto" w:fill="EDF1F5"/>
            <w:vAlign w:val="center"/>
          </w:tcPr>
          <w:p w14:paraId="6ED0B1FC"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Text dates; an unparseable date yields null rather than a wrong date</w:t>
            </w:r>
          </w:p>
        </w:tc>
      </w:tr>
      <w:tr w:rsidR="00E86255" w14:paraId="399082B0"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948" w:type="dxa"/>
            <w:vAlign w:val="center"/>
          </w:tcPr>
          <w:p w14:paraId="26AD432D" w14:textId="77777777" w:rsidR="00E86255" w:rsidRDefault="00346CDB" w:rsidP="00EC53EE">
            <w:pPr>
              <w:spacing w:before="40" w:after="40"/>
              <w:jc w:val="both"/>
            </w:pPr>
            <w:r>
              <w:rPr>
                <w:color w:val="1A1A1A"/>
                <w:sz w:val="17"/>
              </w:rPr>
              <w:t>NULLIF(TRIM(x), '-')</w:t>
            </w:r>
          </w:p>
        </w:tc>
        <w:tc>
          <w:tcPr>
            <w:tcW w:w="2381" w:type="dxa"/>
            <w:vAlign w:val="center"/>
          </w:tcPr>
          <w:p w14:paraId="5FF6CEE4"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numeric columns</w:t>
            </w:r>
          </w:p>
        </w:tc>
        <w:tc>
          <w:tcPr>
            <w:tcW w:w="3855" w:type="dxa"/>
            <w:vAlign w:val="center"/>
          </w:tcPr>
          <w:p w14:paraId="1A6BEDDA"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The hyphen used as a not-applicable marker</w:t>
            </w:r>
          </w:p>
        </w:tc>
      </w:tr>
      <w:tr w:rsidR="00E86255" w14:paraId="7947E15C"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2948" w:type="dxa"/>
            <w:shd w:val="clear" w:color="auto" w:fill="EDF1F5"/>
            <w:vAlign w:val="center"/>
          </w:tcPr>
          <w:p w14:paraId="77F26024" w14:textId="77777777" w:rsidR="00E86255" w:rsidRDefault="00346CDB" w:rsidP="00EC53EE">
            <w:pPr>
              <w:spacing w:before="40" w:after="40"/>
              <w:jc w:val="both"/>
            </w:pPr>
            <w:r>
              <w:rPr>
                <w:color w:val="1A1A1A"/>
                <w:sz w:val="17"/>
              </w:rPr>
              <w:t>UPPER(TRIM(x))</w:t>
            </w:r>
          </w:p>
        </w:tc>
        <w:tc>
          <w:tcPr>
            <w:tcW w:w="2381" w:type="dxa"/>
            <w:shd w:val="clear" w:color="auto" w:fill="EDF1F5"/>
            <w:vAlign w:val="center"/>
          </w:tcPr>
          <w:p w14:paraId="285F4CDA"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9 text columns</w:t>
            </w:r>
          </w:p>
        </w:tc>
        <w:tc>
          <w:tcPr>
            <w:tcW w:w="3855" w:type="dxa"/>
            <w:shd w:val="clear" w:color="auto" w:fill="EDF1F5"/>
            <w:vAlign w:val="center"/>
          </w:tcPr>
          <w:p w14:paraId="6B13FFC4"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Mixed case and padding, so joins and GROUP BY behave</w:t>
            </w:r>
          </w:p>
        </w:tc>
      </w:tr>
      <w:tr w:rsidR="00E86255" w14:paraId="67E2262C"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948" w:type="dxa"/>
            <w:vAlign w:val="center"/>
          </w:tcPr>
          <w:p w14:paraId="559D7AA2" w14:textId="77777777" w:rsidR="00E86255" w:rsidRDefault="00346CDB" w:rsidP="00EC53EE">
            <w:pPr>
              <w:spacing w:before="40" w:after="40"/>
              <w:jc w:val="both"/>
            </w:pPr>
            <w:r>
              <w:rPr>
                <w:color w:val="1A1A1A"/>
                <w:sz w:val="17"/>
              </w:rPr>
              <w:t>REGEXP_REPLACE(…, r'\s+', ' ')</w:t>
            </w:r>
          </w:p>
        </w:tc>
        <w:tc>
          <w:tcPr>
            <w:tcW w:w="2381" w:type="dxa"/>
            <w:vAlign w:val="center"/>
          </w:tcPr>
          <w:p w14:paraId="15768E91"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project_name, address</w:t>
            </w:r>
          </w:p>
        </w:tc>
        <w:tc>
          <w:tcPr>
            <w:tcW w:w="3855" w:type="dxa"/>
            <w:vAlign w:val="center"/>
          </w:tcPr>
          <w:p w14:paraId="004811DE"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Repeated and non-breaking whitespace inside names</w:t>
            </w:r>
          </w:p>
        </w:tc>
      </w:tr>
    </w:tbl>
    <w:p w14:paraId="69DF4C7C" w14:textId="55607A04" w:rsidR="00E86255" w:rsidRDefault="00BE11AE" w:rsidP="00BE11AE">
      <w:pPr>
        <w:keepLines/>
        <w:spacing w:before="60" w:after="160"/>
        <w:jc w:val="both"/>
      </w:pPr>
      <w:r>
        <w:rPr>
          <w:i/>
          <w:color w:val="555C64"/>
          <w:sz w:val="17"/>
        </w:rPr>
        <w:t>Table 4 — Staging cleaning rules. Every rule is SQL in the repository, not a notebook step.</w:t>
      </w:r>
    </w:p>
    <w:p w14:paraId="36862BDB" w14:textId="77777777" w:rsidR="00E86255" w:rsidRDefault="00346CDB" w:rsidP="00EC53EE">
      <w:pPr>
        <w:pStyle w:val="Heading2"/>
        <w:jc w:val="both"/>
      </w:pPr>
      <w:r>
        <w:t>5.4 Derived columns</w:t>
      </w:r>
    </w:p>
    <w:p w14:paraId="544D3F3B" w14:textId="77777777" w:rsidR="00E86255" w:rsidRDefault="00642729" w:rsidP="00EC53EE">
      <w:pPr>
        <w:spacing w:after="140"/>
        <w:jc w:val="both"/>
      </w:pPr>
      <w:r>
        <w:rPr>
          <w:color w:val="1A1A1A"/>
          <w:sz w:val="21"/>
        </w:rPr>
        <w:t xml:space="preserve">  </w:t>
      </w:r>
      <w:r w:rsidR="00346CDB">
        <w:rPr>
          <w:color w:val="1A1A1A"/>
          <w:sz w:val="21"/>
        </w:rPr>
        <w:t xml:space="preserve"> The fact table builds three, each serving a purpose the source cannot.</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2154"/>
        <w:gridCol w:w="3175"/>
        <w:gridCol w:w="3855"/>
      </w:tblGrid>
      <w:tr w:rsidR="00E86255" w14:paraId="407FBBFE"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54" w:type="dxa"/>
            <w:shd w:val="clear" w:color="auto" w:fill="183756"/>
            <w:vAlign w:val="center"/>
          </w:tcPr>
          <w:p w14:paraId="327FAFFF" w14:textId="77777777" w:rsidR="00E86255" w:rsidRDefault="00346CDB" w:rsidP="00EC53EE">
            <w:pPr>
              <w:spacing w:before="40" w:after="40"/>
              <w:jc w:val="both"/>
            </w:pPr>
            <w:r>
              <w:rPr>
                <w:color w:val="FFFFFF"/>
                <w:sz w:val="17"/>
              </w:rPr>
              <w:t>Derived column</w:t>
            </w:r>
          </w:p>
        </w:tc>
        <w:tc>
          <w:tcPr>
            <w:tcW w:w="3175" w:type="dxa"/>
            <w:shd w:val="clear" w:color="auto" w:fill="183756"/>
            <w:vAlign w:val="center"/>
          </w:tcPr>
          <w:p w14:paraId="678FA340"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Definition</w:t>
            </w:r>
          </w:p>
        </w:tc>
        <w:tc>
          <w:tcPr>
            <w:tcW w:w="3855" w:type="dxa"/>
            <w:shd w:val="clear" w:color="auto" w:fill="183756"/>
            <w:vAlign w:val="center"/>
          </w:tcPr>
          <w:p w14:paraId="0C76B162"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Why it exists</w:t>
            </w:r>
          </w:p>
        </w:tc>
      </w:tr>
      <w:tr w:rsidR="00E86255" w14:paraId="32D0DEC6"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4" w:type="dxa"/>
            <w:vAlign w:val="center"/>
          </w:tcPr>
          <w:p w14:paraId="7F5BCC5F" w14:textId="77777777" w:rsidR="00E86255" w:rsidRDefault="00346CDB" w:rsidP="00EC53EE">
            <w:pPr>
              <w:spacing w:before="40" w:after="40"/>
              <w:jc w:val="both"/>
            </w:pPr>
            <w:r>
              <w:rPr>
                <w:color w:val="1A1A1A"/>
                <w:sz w:val="17"/>
              </w:rPr>
              <w:t>transaction_key</w:t>
            </w:r>
          </w:p>
        </w:tc>
        <w:tc>
          <w:tcPr>
            <w:tcW w:w="3175" w:type="dxa"/>
            <w:vAlign w:val="center"/>
          </w:tcPr>
          <w:p w14:paraId="7FBC553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FARM_FINGERPRINT over all 21 attributes plus a row number</w:t>
            </w:r>
          </w:p>
        </w:tc>
        <w:tc>
          <w:tcPr>
            <w:tcW w:w="3855" w:type="dxa"/>
            <w:vAlign w:val="center"/>
          </w:tcPr>
          <w:p w14:paraId="771D1C3A"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The source has no transaction identifier. Identical-looking rows are real repeat sales, so a row number is appended to keep the key unique without deleting data.</w:t>
            </w:r>
          </w:p>
        </w:tc>
      </w:tr>
      <w:tr w:rsidR="00E86255" w14:paraId="097D426F"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2154" w:type="dxa"/>
            <w:shd w:val="clear" w:color="auto" w:fill="EDF1F5"/>
            <w:vAlign w:val="center"/>
          </w:tcPr>
          <w:p w14:paraId="11FF1598" w14:textId="77777777" w:rsidR="00E86255" w:rsidRDefault="00346CDB" w:rsidP="00EC53EE">
            <w:pPr>
              <w:spacing w:before="40" w:after="40"/>
              <w:jc w:val="both"/>
            </w:pPr>
            <w:r>
              <w:rPr>
                <w:color w:val="1A1A1A"/>
                <w:sz w:val="17"/>
              </w:rPr>
              <w:t>new_trans_price</w:t>
            </w:r>
          </w:p>
        </w:tc>
        <w:tc>
          <w:tcPr>
            <w:tcW w:w="3175" w:type="dxa"/>
            <w:shd w:val="clear" w:color="auto" w:fill="EDF1F5"/>
            <w:vAlign w:val="center"/>
          </w:tcPr>
          <w:p w14:paraId="01EC1C86"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area_sqft × unit_price_psf</w:t>
            </w:r>
          </w:p>
        </w:tc>
        <w:tc>
          <w:tcPr>
            <w:tcW w:w="3855" w:type="dxa"/>
            <w:shd w:val="clear" w:color="auto" w:fill="EDF1F5"/>
            <w:vAlign w:val="center"/>
          </w:tcPr>
          <w:p w14:paraId="5A0EEBE9"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Rebuilds the price from URA's own published components, so the two can be compared.</w:t>
            </w:r>
          </w:p>
        </w:tc>
      </w:tr>
      <w:tr w:rsidR="00E86255" w14:paraId="2C44CC94"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4" w:type="dxa"/>
            <w:vAlign w:val="center"/>
          </w:tcPr>
          <w:p w14:paraId="256A5F50" w14:textId="77777777" w:rsidR="00E86255" w:rsidRDefault="00346CDB" w:rsidP="00EC53EE">
            <w:pPr>
              <w:spacing w:before="40" w:after="40"/>
              <w:jc w:val="both"/>
            </w:pPr>
            <w:r>
              <w:rPr>
                <w:color w:val="1A1A1A"/>
                <w:sz w:val="17"/>
              </w:rPr>
              <w:t>percentage_difference</w:t>
            </w:r>
          </w:p>
        </w:tc>
        <w:tc>
          <w:tcPr>
            <w:tcW w:w="3175" w:type="dxa"/>
            <w:vAlign w:val="center"/>
          </w:tcPr>
          <w:p w14:paraId="7CD7425F"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(new_trans_price − transacted_price) ÷ transacted_price</w:t>
            </w:r>
          </w:p>
        </w:tc>
        <w:tc>
          <w:tcPr>
            <w:tcW w:w="3855" w:type="dxa"/>
            <w:vAlign w:val="center"/>
          </w:tcPr>
          <w:p w14:paraId="691A2D32"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Measures how far the rebuilt price sits from the published price. Drives quality check C.</w:t>
            </w:r>
          </w:p>
        </w:tc>
      </w:tr>
    </w:tbl>
    <w:p w14:paraId="66691571" w14:textId="5EA87284" w:rsidR="00EC5212" w:rsidRDefault="00EC5212" w:rsidP="00EC53EE">
      <w:pPr>
        <w:keepLines/>
        <w:spacing w:before="60" w:after="160"/>
        <w:jc w:val="both"/>
      </w:pPr>
      <w:r>
        <w:rPr>
          <w:i/>
          <w:color w:val="555C64"/>
          <w:sz w:val="17"/>
        </w:rPr>
        <w:t>Table 5 — Derived columns in fact_transaction.</w:t>
      </w:r>
    </w:p>
    <w:p w14:paraId="68687B6C" w14:textId="77777777" w:rsidR="00E86255" w:rsidRDefault="00346CDB" w:rsidP="00EC53EE">
      <w:pPr>
        <w:pStyle w:val="Heading1"/>
        <w:jc w:val="both"/>
      </w:pPr>
      <w:r>
        <w:t>6. Data quality testing</w:t>
      </w:r>
    </w:p>
    <w:p w14:paraId="0B53C33E" w14:textId="77777777" w:rsidR="00E86255" w:rsidRDefault="00346CDB" w:rsidP="00EC53EE">
      <w:pPr>
        <w:spacing w:after="140"/>
        <w:jc w:val="both"/>
        <w:rPr>
          <w:color w:val="1A1A1A"/>
          <w:sz w:val="21"/>
        </w:rPr>
      </w:pPr>
      <w:r>
        <w:rPr>
          <w:color w:val="1A1A1A"/>
          <w:sz w:val="21"/>
        </w:rPr>
        <w:t>Quality is tested twice, in two different places, by two different tools. dbt tests the tables inside BigQuery as they are built. Great Expectations tests the pandas dataframe the analysis actually reads, after the data has left the warehouse.</w:t>
      </w:r>
    </w:p>
    <w:p w14:paraId="6D9EBC80" w14:textId="77777777" w:rsidR="00E86255" w:rsidRDefault="00346CDB" w:rsidP="00EC53EE">
      <w:pPr>
        <w:pStyle w:val="Heading2"/>
        <w:jc w:val="both"/>
      </w:pPr>
      <w:r>
        <w:t>6.1 dbt — 20 tests, run by dbt build</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1814"/>
        <w:gridCol w:w="794"/>
        <w:gridCol w:w="4195"/>
        <w:gridCol w:w="2381"/>
      </w:tblGrid>
      <w:tr w:rsidR="00E86255" w14:paraId="53CE8399"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183756"/>
            <w:vAlign w:val="center"/>
          </w:tcPr>
          <w:p w14:paraId="7DB25A2E" w14:textId="77777777" w:rsidR="00E86255" w:rsidRDefault="00346CDB" w:rsidP="00EC53EE">
            <w:pPr>
              <w:spacing w:before="40" w:after="40"/>
              <w:jc w:val="both"/>
            </w:pPr>
            <w:r>
              <w:rPr>
                <w:color w:val="FFFFFF"/>
                <w:sz w:val="17"/>
              </w:rPr>
              <w:t>Test type</w:t>
            </w:r>
          </w:p>
        </w:tc>
        <w:tc>
          <w:tcPr>
            <w:tcW w:w="794" w:type="dxa"/>
            <w:shd w:val="clear" w:color="auto" w:fill="183756"/>
            <w:vAlign w:val="center"/>
          </w:tcPr>
          <w:p w14:paraId="3E3A9544"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Uses</w:t>
            </w:r>
          </w:p>
        </w:tc>
        <w:tc>
          <w:tcPr>
            <w:tcW w:w="4195" w:type="dxa"/>
            <w:shd w:val="clear" w:color="auto" w:fill="183756"/>
            <w:vAlign w:val="center"/>
          </w:tcPr>
          <w:p w14:paraId="687D2399"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Applied to</w:t>
            </w:r>
          </w:p>
        </w:tc>
        <w:tc>
          <w:tcPr>
            <w:tcW w:w="2381" w:type="dxa"/>
            <w:shd w:val="clear" w:color="auto" w:fill="183756"/>
            <w:vAlign w:val="center"/>
          </w:tcPr>
          <w:p w14:paraId="23CB92E1"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Category in the brief</w:t>
            </w:r>
          </w:p>
        </w:tc>
      </w:tr>
      <w:tr w:rsidR="00E86255" w14:paraId="00A70B0A"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49B77D3" w14:textId="77777777" w:rsidR="00E86255" w:rsidRDefault="00346CDB" w:rsidP="00EC53EE">
            <w:pPr>
              <w:spacing w:before="40" w:after="40"/>
              <w:jc w:val="both"/>
            </w:pPr>
            <w:r>
              <w:rPr>
                <w:color w:val="1A1A1A"/>
                <w:sz w:val="17"/>
              </w:rPr>
              <w:t>unique</w:t>
            </w:r>
          </w:p>
        </w:tc>
        <w:tc>
          <w:tcPr>
            <w:tcW w:w="794" w:type="dxa"/>
            <w:vAlign w:val="center"/>
          </w:tcPr>
          <w:p w14:paraId="4B509B1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3</w:t>
            </w:r>
          </w:p>
        </w:tc>
        <w:tc>
          <w:tcPr>
            <w:tcW w:w="4195" w:type="dxa"/>
            <w:vAlign w:val="center"/>
          </w:tcPr>
          <w:p w14:paraId="6E59A49A"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transaction_key, project_key, location_key</w:t>
            </w:r>
          </w:p>
        </w:tc>
        <w:tc>
          <w:tcPr>
            <w:tcW w:w="2381" w:type="dxa"/>
            <w:vAlign w:val="center"/>
          </w:tcPr>
          <w:p w14:paraId="000CA874"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duplicates</w:t>
            </w:r>
          </w:p>
        </w:tc>
      </w:tr>
      <w:tr w:rsidR="00E86255" w14:paraId="379D7154"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EDF1F5"/>
            <w:vAlign w:val="center"/>
          </w:tcPr>
          <w:p w14:paraId="235F2826" w14:textId="77777777" w:rsidR="00E86255" w:rsidRDefault="00346CDB" w:rsidP="00EC53EE">
            <w:pPr>
              <w:spacing w:before="40" w:after="40"/>
              <w:jc w:val="both"/>
            </w:pPr>
            <w:r>
              <w:rPr>
                <w:color w:val="1A1A1A"/>
                <w:sz w:val="17"/>
              </w:rPr>
              <w:t>not_null</w:t>
            </w:r>
          </w:p>
        </w:tc>
        <w:tc>
          <w:tcPr>
            <w:tcW w:w="794" w:type="dxa"/>
            <w:shd w:val="clear" w:color="auto" w:fill="EDF1F5"/>
            <w:vAlign w:val="center"/>
          </w:tcPr>
          <w:p w14:paraId="1493ECB4"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10</w:t>
            </w:r>
          </w:p>
        </w:tc>
        <w:tc>
          <w:tcPr>
            <w:tcW w:w="4195" w:type="dxa"/>
            <w:shd w:val="clear" w:color="auto" w:fill="EDF1F5"/>
            <w:vAlign w:val="center"/>
          </w:tcPr>
          <w:p w14:paraId="09EC6815"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the same three keys, plus 7 cast columns in staging</w:t>
            </w:r>
          </w:p>
        </w:tc>
        <w:tc>
          <w:tcPr>
            <w:tcW w:w="2381" w:type="dxa"/>
            <w:shd w:val="clear" w:color="auto" w:fill="EDF1F5"/>
            <w:vAlign w:val="center"/>
          </w:tcPr>
          <w:p w14:paraId="4D61AFAD"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null values</w:t>
            </w:r>
          </w:p>
        </w:tc>
      </w:tr>
      <w:tr w:rsidR="00E86255" w14:paraId="4AE2DD5A"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2E116DD9" w14:textId="77777777" w:rsidR="00E86255" w:rsidRDefault="00346CDB" w:rsidP="00EC53EE">
            <w:pPr>
              <w:spacing w:before="40" w:after="40"/>
              <w:jc w:val="both"/>
            </w:pPr>
            <w:r>
              <w:rPr>
                <w:color w:val="1A1A1A"/>
                <w:sz w:val="17"/>
              </w:rPr>
              <w:t>relationships</w:t>
            </w:r>
          </w:p>
        </w:tc>
        <w:tc>
          <w:tcPr>
            <w:tcW w:w="794" w:type="dxa"/>
            <w:vAlign w:val="center"/>
          </w:tcPr>
          <w:p w14:paraId="6DAFD88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2</w:t>
            </w:r>
          </w:p>
        </w:tc>
        <w:tc>
          <w:tcPr>
            <w:tcW w:w="4195" w:type="dxa"/>
            <w:vAlign w:val="center"/>
          </w:tcPr>
          <w:p w14:paraId="0E1188F6"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fact → dim_project, fact → dim_location</w:t>
            </w:r>
          </w:p>
        </w:tc>
        <w:tc>
          <w:tcPr>
            <w:tcW w:w="2381" w:type="dxa"/>
            <w:vAlign w:val="center"/>
          </w:tcPr>
          <w:p w14:paraId="51BFEC8E"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referential integrity</w:t>
            </w:r>
          </w:p>
        </w:tc>
      </w:tr>
      <w:tr w:rsidR="00E86255" w14:paraId="30AEBC02"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EDF1F5"/>
            <w:vAlign w:val="center"/>
          </w:tcPr>
          <w:p w14:paraId="7C529065" w14:textId="77777777" w:rsidR="00E86255" w:rsidRDefault="00346CDB" w:rsidP="00EC53EE">
            <w:pPr>
              <w:spacing w:before="40" w:after="40"/>
              <w:jc w:val="both"/>
            </w:pPr>
            <w:r>
              <w:rPr>
                <w:color w:val="1A1A1A"/>
                <w:sz w:val="17"/>
              </w:rPr>
              <w:t>accepted_values</w:t>
            </w:r>
          </w:p>
        </w:tc>
        <w:tc>
          <w:tcPr>
            <w:tcW w:w="794" w:type="dxa"/>
            <w:shd w:val="clear" w:color="auto" w:fill="EDF1F5"/>
            <w:vAlign w:val="center"/>
          </w:tcPr>
          <w:p w14:paraId="067A7692"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4</w:t>
            </w:r>
          </w:p>
        </w:tc>
        <w:tc>
          <w:tcPr>
            <w:tcW w:w="4195" w:type="dxa"/>
            <w:shd w:val="clear" w:color="auto" w:fill="EDF1F5"/>
            <w:vAlign w:val="center"/>
          </w:tcPr>
          <w:p w14:paraId="23236687"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type_of_sale, property_type, planning_region, purchaser_address_indicator</w:t>
            </w:r>
          </w:p>
        </w:tc>
        <w:tc>
          <w:tcPr>
            <w:tcW w:w="2381" w:type="dxa"/>
            <w:shd w:val="clear" w:color="auto" w:fill="EDF1F5"/>
            <w:vAlign w:val="center"/>
          </w:tcPr>
          <w:p w14:paraId="20211852"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business logic</w:t>
            </w:r>
          </w:p>
        </w:tc>
      </w:tr>
      <w:tr w:rsidR="00E86255" w14:paraId="28633A8A"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A6F77BC" w14:textId="77777777" w:rsidR="00E86255" w:rsidRDefault="00346CDB" w:rsidP="00EC53EE">
            <w:pPr>
              <w:spacing w:before="40" w:after="40"/>
              <w:jc w:val="both"/>
            </w:pPr>
            <w:r>
              <w:rPr>
                <w:color w:val="1A1A1A"/>
                <w:sz w:val="17"/>
              </w:rPr>
              <w:lastRenderedPageBreak/>
              <w:t>custom SQL test</w:t>
            </w:r>
          </w:p>
        </w:tc>
        <w:tc>
          <w:tcPr>
            <w:tcW w:w="794" w:type="dxa"/>
            <w:vAlign w:val="center"/>
          </w:tcPr>
          <w:p w14:paraId="61514D6C"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w:t>
            </w:r>
          </w:p>
        </w:tc>
        <w:tc>
          <w:tcPr>
            <w:tcW w:w="4195" w:type="dxa"/>
            <w:vAlign w:val="center"/>
          </w:tcPr>
          <w:p w14:paraId="0714182E"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all 7 measures must be greater than zero</w:t>
            </w:r>
          </w:p>
        </w:tc>
        <w:tc>
          <w:tcPr>
            <w:tcW w:w="2381" w:type="dxa"/>
            <w:vAlign w:val="center"/>
          </w:tcPr>
          <w:p w14:paraId="28F05E6D"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business logic</w:t>
            </w:r>
          </w:p>
        </w:tc>
      </w:tr>
    </w:tbl>
    <w:p w14:paraId="01C989CB" w14:textId="71C5E983" w:rsidR="00E86255" w:rsidRDefault="000E5E1C" w:rsidP="00EC53EE">
      <w:pPr>
        <w:keepLines/>
        <w:spacing w:before="60" w:after="160"/>
        <w:jc w:val="both"/>
      </w:pPr>
      <w:r>
        <w:rPr>
          <w:i/>
          <w:color w:val="555C64"/>
          <w:sz w:val="17"/>
        </w:rPr>
        <w:t>Table 6 — The 20 dbt tests</w:t>
      </w:r>
    </w:p>
    <w:p w14:paraId="2BB7D311" w14:textId="77777777" w:rsidR="00E86255" w:rsidRDefault="00346CDB" w:rsidP="00EC53EE">
      <w:pPr>
        <w:spacing w:after="140"/>
        <w:jc w:val="both"/>
      </w:pPr>
      <w:r>
        <w:rPr>
          <w:color w:val="1A1A1A"/>
          <w:sz w:val="21"/>
        </w:rPr>
        <w:t>We use dbt build rather than dbt run precisely because it interleaves models and tests in dependency order. A model whose tests fail does not pass its rows to the models downstream — they are skipped instead. SKIP=0 in that summary therefore means something: nothing was quietly bypassed.</w:t>
      </w:r>
    </w:p>
    <w:p w14:paraId="4628EDFF" w14:textId="77777777" w:rsidR="00E86255" w:rsidRDefault="00346CDB" w:rsidP="00EC53EE">
      <w:pPr>
        <w:pStyle w:val="Heading2"/>
        <w:jc w:val="both"/>
      </w:pPr>
      <w:r>
        <w:t>6.2 Great Expectations — 15 expectations on the fact table</w:t>
      </w:r>
    </w:p>
    <w:p w14:paraId="2B3F30AC" w14:textId="77777777" w:rsidR="00E86255" w:rsidRDefault="00346CDB" w:rsidP="00EC53EE">
      <w:pPr>
        <w:spacing w:after="140"/>
        <w:jc w:val="both"/>
      </w:pPr>
      <w:r>
        <w:rPr>
          <w:color w:val="1A1A1A"/>
          <w:sz w:val="21"/>
        </w:rPr>
        <w:t>The GX suite runs on the pandas dataframe loaded out of BigQuery, not on the warehouse table. That makes it a genuinely independent second opinion: it checks what the analyst actually holds in memory. Of its 15 expectations, 9 restate a rule dbt already enforces and 6 state something dbt cannot.</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1587"/>
        <w:gridCol w:w="3196"/>
        <w:gridCol w:w="2701"/>
        <w:gridCol w:w="1701"/>
      </w:tblGrid>
      <w:tr w:rsidR="00E86255" w14:paraId="1A9009F9" w14:textId="77777777" w:rsidTr="0009025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183756"/>
            <w:vAlign w:val="center"/>
          </w:tcPr>
          <w:p w14:paraId="323AF294" w14:textId="77777777" w:rsidR="00E86255" w:rsidRDefault="00346CDB" w:rsidP="00EC53EE">
            <w:pPr>
              <w:spacing w:before="40" w:after="40"/>
              <w:jc w:val="both"/>
            </w:pPr>
            <w:r>
              <w:rPr>
                <w:color w:val="FFFFFF"/>
                <w:sz w:val="17"/>
              </w:rPr>
              <w:t>Expectation</w:t>
            </w:r>
          </w:p>
        </w:tc>
        <w:tc>
          <w:tcPr>
            <w:tcW w:w="3196" w:type="dxa"/>
            <w:shd w:val="clear" w:color="auto" w:fill="183756"/>
            <w:vAlign w:val="center"/>
          </w:tcPr>
          <w:p w14:paraId="1A78E52B"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Field and condition</w:t>
            </w:r>
          </w:p>
        </w:tc>
        <w:tc>
          <w:tcPr>
            <w:tcW w:w="2701" w:type="dxa"/>
            <w:shd w:val="clear" w:color="auto" w:fill="183756"/>
            <w:vAlign w:val="center"/>
          </w:tcPr>
          <w:p w14:paraId="2AFC6E73"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Relationship to dbt</w:t>
            </w:r>
          </w:p>
        </w:tc>
        <w:tc>
          <w:tcPr>
            <w:tcW w:w="1701" w:type="dxa"/>
            <w:shd w:val="clear" w:color="auto" w:fill="183756"/>
            <w:vAlign w:val="center"/>
          </w:tcPr>
          <w:p w14:paraId="312604B9"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Result</w:t>
            </w:r>
          </w:p>
        </w:tc>
      </w:tr>
      <w:tr w:rsidR="00E86255" w14:paraId="179B7C78" w14:textId="77777777" w:rsidTr="0009025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22DB43FD" w14:textId="77777777" w:rsidR="00E86255" w:rsidRDefault="00346CDB" w:rsidP="00EC53EE">
            <w:pPr>
              <w:spacing w:before="40" w:after="40"/>
              <w:jc w:val="both"/>
            </w:pPr>
            <w:r>
              <w:rPr>
                <w:color w:val="1A1A1A"/>
                <w:sz w:val="17"/>
              </w:rPr>
              <w:t>BeBetween ×1</w:t>
            </w:r>
          </w:p>
        </w:tc>
        <w:tc>
          <w:tcPr>
            <w:tcW w:w="3196" w:type="dxa"/>
            <w:vAlign w:val="center"/>
          </w:tcPr>
          <w:p w14:paraId="50CC1308" w14:textId="77777777" w:rsidR="00510208" w:rsidRPr="00090251"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090251">
              <w:rPr>
                <w:sz w:val="17"/>
                <w:szCs w:val="17"/>
              </w:rPr>
              <w:t>number_of_units = 1</w:t>
            </w:r>
          </w:p>
        </w:tc>
        <w:tc>
          <w:tcPr>
            <w:tcW w:w="2701" w:type="dxa"/>
            <w:vAlign w:val="center"/>
          </w:tcPr>
          <w:p w14:paraId="4002F6BE" w14:textId="77777777" w:rsidR="00510208" w:rsidRPr="00090251"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090251">
              <w:rPr>
                <w:sz w:val="17"/>
                <w:szCs w:val="17"/>
              </w:rPr>
              <w:t>adds</w:t>
            </w:r>
          </w:p>
        </w:tc>
        <w:tc>
          <w:tcPr>
            <w:tcW w:w="1701" w:type="dxa"/>
            <w:vAlign w:val="center"/>
          </w:tcPr>
          <w:p w14:paraId="4CC0B2E3" w14:textId="77777777" w:rsidR="00E86255" w:rsidRPr="00090251"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rPr>
                <w:sz w:val="17"/>
                <w:szCs w:val="17"/>
              </w:rPr>
            </w:pPr>
            <w:r w:rsidRPr="00090251">
              <w:rPr>
                <w:color w:val="1A1A1A"/>
                <w:sz w:val="17"/>
                <w:szCs w:val="17"/>
              </w:rPr>
              <w:t>FAIL · 180 rows</w:t>
            </w:r>
          </w:p>
        </w:tc>
      </w:tr>
      <w:tr w:rsidR="00E86255" w14:paraId="34592200" w14:textId="77777777" w:rsidTr="00090251">
        <w:trPr>
          <w:cantSplit/>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EDF1F5"/>
            <w:vAlign w:val="center"/>
          </w:tcPr>
          <w:p w14:paraId="4302BE71" w14:textId="77777777" w:rsidR="00E86255" w:rsidRDefault="00346CDB" w:rsidP="00EC53EE">
            <w:pPr>
              <w:spacing w:before="40" w:after="40"/>
              <w:jc w:val="both"/>
            </w:pPr>
            <w:r>
              <w:rPr>
                <w:color w:val="1A1A1A"/>
                <w:sz w:val="17"/>
              </w:rPr>
              <w:t>BeBetween ×1</w:t>
            </w:r>
          </w:p>
        </w:tc>
        <w:tc>
          <w:tcPr>
            <w:tcW w:w="3196" w:type="dxa"/>
            <w:shd w:val="clear" w:color="auto" w:fill="EDF1F5"/>
            <w:vAlign w:val="center"/>
          </w:tcPr>
          <w:p w14:paraId="5B50CD64" w14:textId="4913F218" w:rsidR="00510208" w:rsidRPr="00090251" w:rsidRDefault="00446B68" w:rsidP="00EC53EE">
            <w:pPr>
              <w:jc w:val="both"/>
              <w:cnfStyle w:val="000000000000" w:firstRow="0" w:lastRow="0" w:firstColumn="0" w:lastColumn="0" w:oddVBand="0" w:evenVBand="0" w:oddHBand="0" w:evenHBand="0" w:firstRowFirstColumn="0" w:firstRowLastColumn="0" w:lastRowFirstColumn="0" w:lastRowLastColumn="0"/>
              <w:rPr>
                <w:sz w:val="17"/>
                <w:szCs w:val="17"/>
              </w:rPr>
            </w:pPr>
            <w:r w:rsidRPr="00090251">
              <w:rPr>
                <w:sz w:val="17"/>
                <w:szCs w:val="17"/>
              </w:rPr>
              <w:t>transacted_price ≤ S$75,000,000</w:t>
            </w:r>
          </w:p>
        </w:tc>
        <w:tc>
          <w:tcPr>
            <w:tcW w:w="2701" w:type="dxa"/>
            <w:shd w:val="clear" w:color="auto" w:fill="EDF1F5"/>
            <w:vAlign w:val="center"/>
          </w:tcPr>
          <w:p w14:paraId="45E45516" w14:textId="5F67E9BC" w:rsidR="00510208" w:rsidRPr="00090251" w:rsidRDefault="00446B68" w:rsidP="00EC53EE">
            <w:pPr>
              <w:jc w:val="both"/>
              <w:cnfStyle w:val="000000000000" w:firstRow="0" w:lastRow="0" w:firstColumn="0" w:lastColumn="0" w:oddVBand="0" w:evenVBand="0" w:oddHBand="0" w:evenHBand="0" w:firstRowFirstColumn="0" w:firstRowLastColumn="0" w:lastRowFirstColumn="0" w:lastRowLastColumn="0"/>
              <w:rPr>
                <w:sz w:val="17"/>
                <w:szCs w:val="17"/>
              </w:rPr>
            </w:pPr>
            <w:r w:rsidRPr="00090251">
              <w:rPr>
                <w:sz w:val="17"/>
                <w:szCs w:val="17"/>
              </w:rPr>
              <w:t>adds</w:t>
            </w:r>
          </w:p>
        </w:tc>
        <w:tc>
          <w:tcPr>
            <w:tcW w:w="1701" w:type="dxa"/>
            <w:shd w:val="clear" w:color="auto" w:fill="EDF1F5"/>
            <w:vAlign w:val="center"/>
          </w:tcPr>
          <w:p w14:paraId="63A10C13" w14:textId="77777777" w:rsidR="00E86255" w:rsidRPr="00090251"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rPr>
                <w:sz w:val="17"/>
                <w:szCs w:val="17"/>
              </w:rPr>
            </w:pPr>
            <w:r w:rsidRPr="00090251">
              <w:rPr>
                <w:color w:val="1A1A1A"/>
                <w:sz w:val="17"/>
                <w:szCs w:val="17"/>
              </w:rPr>
              <w:t>FAIL · 72 rows</w:t>
            </w:r>
          </w:p>
        </w:tc>
      </w:tr>
      <w:tr w:rsidR="00E86255" w14:paraId="2C6F4DDC" w14:textId="77777777" w:rsidTr="0009025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5A7A1F75" w14:textId="77777777" w:rsidR="00E86255" w:rsidRDefault="00346CDB" w:rsidP="00EC53EE">
            <w:pPr>
              <w:spacing w:before="40" w:after="40"/>
              <w:jc w:val="both"/>
            </w:pPr>
            <w:r>
              <w:rPr>
                <w:color w:val="1A1A1A"/>
                <w:sz w:val="17"/>
              </w:rPr>
              <w:t>BeBetween ×1</w:t>
            </w:r>
          </w:p>
        </w:tc>
        <w:tc>
          <w:tcPr>
            <w:tcW w:w="3196" w:type="dxa"/>
            <w:vAlign w:val="center"/>
          </w:tcPr>
          <w:p w14:paraId="1A15B3F5" w14:textId="77777777" w:rsidR="00510208" w:rsidRPr="00090251"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090251">
              <w:rPr>
                <w:sz w:val="17"/>
                <w:szCs w:val="17"/>
              </w:rPr>
              <w:t>percentage_difference within ±2.5%</w:t>
            </w:r>
          </w:p>
        </w:tc>
        <w:tc>
          <w:tcPr>
            <w:tcW w:w="2701" w:type="dxa"/>
            <w:vAlign w:val="center"/>
          </w:tcPr>
          <w:p w14:paraId="4DA5796C" w14:textId="704CE1E2" w:rsidR="00510208" w:rsidRPr="00090251"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090251">
              <w:rPr>
                <w:sz w:val="17"/>
                <w:szCs w:val="17"/>
              </w:rPr>
              <w:t>adds</w:t>
            </w:r>
          </w:p>
        </w:tc>
        <w:tc>
          <w:tcPr>
            <w:tcW w:w="1701" w:type="dxa"/>
            <w:vAlign w:val="center"/>
          </w:tcPr>
          <w:p w14:paraId="602FFFA5" w14:textId="77777777" w:rsidR="00E86255" w:rsidRPr="00090251"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rPr>
                <w:sz w:val="17"/>
                <w:szCs w:val="17"/>
              </w:rPr>
            </w:pPr>
            <w:r w:rsidRPr="00090251">
              <w:rPr>
                <w:color w:val="1A1A1A"/>
                <w:sz w:val="17"/>
                <w:szCs w:val="17"/>
              </w:rPr>
              <w:t>FAIL · 202 rows</w:t>
            </w:r>
          </w:p>
        </w:tc>
      </w:tr>
      <w:tr w:rsidR="00E86255" w14:paraId="4B850B58" w14:textId="77777777" w:rsidTr="00090251">
        <w:trPr>
          <w:cantSplit/>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EDF1F5"/>
            <w:vAlign w:val="center"/>
          </w:tcPr>
          <w:p w14:paraId="450AC07F" w14:textId="77777777" w:rsidR="00E86255" w:rsidRDefault="00346CDB" w:rsidP="00EC53EE">
            <w:pPr>
              <w:spacing w:before="40" w:after="40"/>
              <w:jc w:val="both"/>
            </w:pPr>
            <w:r>
              <w:rPr>
                <w:color w:val="1A1A1A"/>
                <w:sz w:val="17"/>
              </w:rPr>
              <w:t>BeBetween &gt; 0 ×8</w:t>
            </w:r>
          </w:p>
        </w:tc>
        <w:tc>
          <w:tcPr>
            <w:tcW w:w="3196" w:type="dxa"/>
            <w:shd w:val="clear" w:color="auto" w:fill="EDF1F5"/>
            <w:vAlign w:val="center"/>
          </w:tcPr>
          <w:p w14:paraId="48879E3B"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the 7 measures in the custom SQL test, plus new_trans_price</w:t>
            </w:r>
          </w:p>
        </w:tc>
        <w:tc>
          <w:tcPr>
            <w:tcW w:w="2701" w:type="dxa"/>
            <w:shd w:val="clear" w:color="auto" w:fill="EDF1F5"/>
            <w:vAlign w:val="center"/>
          </w:tcPr>
          <w:p w14:paraId="15CE0BF6"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7 repeat · 1 adds</w:t>
            </w:r>
          </w:p>
        </w:tc>
        <w:tc>
          <w:tcPr>
            <w:tcW w:w="1701" w:type="dxa"/>
            <w:shd w:val="clear" w:color="auto" w:fill="EDF1F5"/>
            <w:vAlign w:val="center"/>
          </w:tcPr>
          <w:p w14:paraId="1CAD9DA2"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pass</w:t>
            </w:r>
          </w:p>
        </w:tc>
      </w:tr>
      <w:tr w:rsidR="00E86255" w14:paraId="4FC7B0C2" w14:textId="77777777" w:rsidTr="0009025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4A111159" w14:textId="77777777" w:rsidR="00E86255" w:rsidRDefault="00346CDB" w:rsidP="00EC53EE">
            <w:pPr>
              <w:spacing w:before="40" w:after="40"/>
              <w:jc w:val="both"/>
            </w:pPr>
            <w:r>
              <w:rPr>
                <w:color w:val="1A1A1A"/>
                <w:sz w:val="17"/>
              </w:rPr>
              <w:t>NotBeNull ×1</w:t>
            </w:r>
          </w:p>
        </w:tc>
        <w:tc>
          <w:tcPr>
            <w:tcW w:w="3196" w:type="dxa"/>
            <w:vAlign w:val="center"/>
          </w:tcPr>
          <w:p w14:paraId="0BD37022"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sale_date — dbt tests this in staging only</w:t>
            </w:r>
          </w:p>
        </w:tc>
        <w:tc>
          <w:tcPr>
            <w:tcW w:w="2701" w:type="dxa"/>
            <w:vAlign w:val="center"/>
          </w:tcPr>
          <w:p w14:paraId="498171F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adds</w:t>
            </w:r>
          </w:p>
        </w:tc>
        <w:tc>
          <w:tcPr>
            <w:tcW w:w="1701" w:type="dxa"/>
            <w:vAlign w:val="center"/>
          </w:tcPr>
          <w:p w14:paraId="05FCD6C3"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pass</w:t>
            </w:r>
          </w:p>
        </w:tc>
      </w:tr>
      <w:tr w:rsidR="00E86255" w14:paraId="00B097F3" w14:textId="77777777" w:rsidTr="00090251">
        <w:trPr>
          <w:cantSplit/>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EDF1F5"/>
            <w:vAlign w:val="center"/>
          </w:tcPr>
          <w:p w14:paraId="3AD4EBFA" w14:textId="77777777" w:rsidR="00E86255" w:rsidRDefault="00346CDB" w:rsidP="00EC53EE">
            <w:pPr>
              <w:spacing w:before="40" w:after="40"/>
              <w:jc w:val="both"/>
            </w:pPr>
            <w:r>
              <w:rPr>
                <w:color w:val="1A1A1A"/>
                <w:sz w:val="17"/>
              </w:rPr>
              <w:t>NotBeNull ×1</w:t>
            </w:r>
          </w:p>
        </w:tc>
        <w:tc>
          <w:tcPr>
            <w:tcW w:w="3196" w:type="dxa"/>
            <w:shd w:val="clear" w:color="auto" w:fill="EDF1F5"/>
            <w:vAlign w:val="center"/>
          </w:tcPr>
          <w:p w14:paraId="156DA612"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transaction_key</w:t>
            </w:r>
          </w:p>
        </w:tc>
        <w:tc>
          <w:tcPr>
            <w:tcW w:w="2701" w:type="dxa"/>
            <w:shd w:val="clear" w:color="auto" w:fill="EDF1F5"/>
            <w:vAlign w:val="center"/>
          </w:tcPr>
          <w:p w14:paraId="2A88C89F"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repeats dbt</w:t>
            </w:r>
          </w:p>
        </w:tc>
        <w:tc>
          <w:tcPr>
            <w:tcW w:w="1701" w:type="dxa"/>
            <w:shd w:val="clear" w:color="auto" w:fill="EDF1F5"/>
            <w:vAlign w:val="center"/>
          </w:tcPr>
          <w:p w14:paraId="5C854B8F"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pass</w:t>
            </w:r>
          </w:p>
        </w:tc>
      </w:tr>
      <w:tr w:rsidR="00E86255" w14:paraId="6DC4DDBD" w14:textId="77777777" w:rsidTr="0009025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11C20771" w14:textId="77777777" w:rsidR="00E86255" w:rsidRDefault="00346CDB" w:rsidP="00EC53EE">
            <w:pPr>
              <w:spacing w:before="40" w:after="40"/>
              <w:jc w:val="both"/>
            </w:pPr>
            <w:r>
              <w:rPr>
                <w:color w:val="1A1A1A"/>
                <w:sz w:val="17"/>
              </w:rPr>
              <w:t>BeUnique ×1</w:t>
            </w:r>
          </w:p>
        </w:tc>
        <w:tc>
          <w:tcPr>
            <w:tcW w:w="3196" w:type="dxa"/>
            <w:vAlign w:val="center"/>
          </w:tcPr>
          <w:p w14:paraId="5BA43C7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transaction_key</w:t>
            </w:r>
          </w:p>
        </w:tc>
        <w:tc>
          <w:tcPr>
            <w:tcW w:w="2701" w:type="dxa"/>
            <w:vAlign w:val="center"/>
          </w:tcPr>
          <w:p w14:paraId="46AF777B"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repeats dbt</w:t>
            </w:r>
          </w:p>
        </w:tc>
        <w:tc>
          <w:tcPr>
            <w:tcW w:w="1701" w:type="dxa"/>
            <w:vAlign w:val="center"/>
          </w:tcPr>
          <w:p w14:paraId="5487834C"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pass</w:t>
            </w:r>
          </w:p>
        </w:tc>
      </w:tr>
      <w:tr w:rsidR="00E86255" w14:paraId="39E42BBD" w14:textId="77777777" w:rsidTr="00090251">
        <w:trPr>
          <w:cantSplit/>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EDF1F5"/>
            <w:vAlign w:val="center"/>
          </w:tcPr>
          <w:p w14:paraId="347B816A" w14:textId="77777777" w:rsidR="00E86255" w:rsidRDefault="00346CDB" w:rsidP="00EC53EE">
            <w:pPr>
              <w:spacing w:before="40" w:after="40"/>
              <w:jc w:val="both"/>
            </w:pPr>
            <w:r>
              <w:rPr>
                <w:color w:val="1A1A1A"/>
                <w:sz w:val="17"/>
              </w:rPr>
              <w:t>ColumnToExist ×1</w:t>
            </w:r>
          </w:p>
        </w:tc>
        <w:tc>
          <w:tcPr>
            <w:tcW w:w="3196" w:type="dxa"/>
            <w:shd w:val="clear" w:color="auto" w:fill="EDF1F5"/>
            <w:vAlign w:val="center"/>
          </w:tcPr>
          <w:p w14:paraId="01208CC3"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transaction_key</w:t>
            </w:r>
          </w:p>
        </w:tc>
        <w:tc>
          <w:tcPr>
            <w:tcW w:w="2701" w:type="dxa"/>
            <w:shd w:val="clear" w:color="auto" w:fill="EDF1F5"/>
            <w:vAlign w:val="center"/>
          </w:tcPr>
          <w:p w14:paraId="58C4D2BB"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adds</w:t>
            </w:r>
          </w:p>
        </w:tc>
        <w:tc>
          <w:tcPr>
            <w:tcW w:w="1701" w:type="dxa"/>
            <w:shd w:val="clear" w:color="auto" w:fill="EDF1F5"/>
            <w:vAlign w:val="center"/>
          </w:tcPr>
          <w:p w14:paraId="11D52B20"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pass</w:t>
            </w:r>
          </w:p>
        </w:tc>
      </w:tr>
    </w:tbl>
    <w:p w14:paraId="016EC596" w14:textId="145089E3" w:rsidR="00E86255" w:rsidRPr="005B1DE8" w:rsidRDefault="005B1DE8" w:rsidP="005B1DE8">
      <w:pPr>
        <w:keepLines/>
        <w:spacing w:before="60" w:after="160"/>
        <w:jc w:val="both"/>
        <w:rPr>
          <w:i/>
          <w:color w:val="555C64"/>
          <w:sz w:val="17"/>
        </w:rPr>
      </w:pPr>
      <w:r>
        <w:rPr>
          <w:i/>
          <w:color w:val="555C64"/>
          <w:sz w:val="17"/>
        </w:rPr>
        <w:t>Table 7 — All 15 expectations: 12 pass, 3 failed</w:t>
      </w:r>
    </w:p>
    <w:p w14:paraId="119EA964" w14:textId="77777777" w:rsidR="00E86255" w:rsidRDefault="00346CDB" w:rsidP="00EC53EE">
      <w:pPr>
        <w:spacing w:after="140"/>
        <w:jc w:val="both"/>
      </w:pPr>
      <w:r>
        <w:rPr>
          <w:color w:val="1A1A1A"/>
          <w:sz w:val="21"/>
        </w:rPr>
        <w:t>What dbt's four built-in tests cannot express is a numeric range or a comparison between two columns. That is the entire reason Great Expectations is in the stack, and the table above quantifies it: 6 of the 15 expectations are rules we would otherwise have had to hand-write as custom SQL.</w:t>
      </w:r>
    </w:p>
    <w:p w14:paraId="0ED52704" w14:textId="77777777" w:rsidR="00E86255" w:rsidRDefault="00346CDB" w:rsidP="00EC53EE">
      <w:pPr>
        <w:pStyle w:val="Heading2"/>
        <w:jc w:val="both"/>
      </w:pPr>
      <w:r>
        <w:t>6.3 What the three failures mean</w:t>
      </w:r>
    </w:p>
    <w:p w14:paraId="22468096" w14:textId="77777777" w:rsidR="00E86255" w:rsidRDefault="00346CDB" w:rsidP="00EC53EE">
      <w:pPr>
        <w:spacing w:after="140"/>
        <w:jc w:val="both"/>
      </w:pPr>
      <w:r>
        <w:t>The three failing Great Expectations checks were designed to investigate different aspects of the transaction data. Rather than treating every failure as a data error, we use the checks to identify transactions that require further review and to understand whether the results are consistent with the characteristics of the dataset.</w:t>
      </w:r>
    </w:p>
    <w:p w14:paraId="05BFB833" w14:textId="77777777" w:rsidR="00510208" w:rsidRDefault="00446B68" w:rsidP="00EC53EE">
      <w:pPr>
        <w:jc w:val="both"/>
      </w:pPr>
      <w:r>
        <w:t>Check A — Number of units. The purpose is to identify transactions involving more than one unit. The expectation is written as number_of_units = 1, so it fails when a row records more than one unit. The 180 flagged rows can then be recognised in downstream analysis rather than being mistaken for ordinary single-unit purchases.</w:t>
      </w:r>
    </w:p>
    <w:p w14:paraId="270A331D" w14:textId="77777777" w:rsidR="00510208" w:rsidRDefault="00446B68" w:rsidP="00EC53EE">
      <w:pPr>
        <w:jc w:val="both"/>
      </w:pPr>
      <w:r>
        <w:t>Check B — Transaction price above S$75 million. We use S$75 million as an assumed upper price threshold for a single residential unit. Transactions above this amount are flagged because they may represent bulk purchases. This is a screening assumption, not an absolute rule proving that a transaction is invalid or contains multiple units.</w:t>
      </w:r>
    </w:p>
    <w:p w14:paraId="4D57B2AB" w14:textId="77777777" w:rsidR="00510208" w:rsidRDefault="00446B68" w:rsidP="00EC53EE">
      <w:pPr>
        <w:jc w:val="both"/>
      </w:pPr>
      <w:r>
        <w:t>Check C — Price reconstruction within ±2.5%. We reconstruct the transaction price as area_sqft × unit_price_psf and compare it with transacted_price. The ±2.5% tolerance is used to flag differences that warrant investigation; it is an analytical tolerance, not an official URA standard. The 202 flagged rows remain unresolved because rounding unit_price_psf to whole dollars does not explain the observed differences.</w:t>
      </w:r>
    </w:p>
    <w:p w14:paraId="43256C53" w14:textId="77777777" w:rsidR="00ED1DB0" w:rsidRDefault="00ED1DB0" w:rsidP="00EC53EE">
      <w:pPr>
        <w:jc w:val="both"/>
      </w:pP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2268"/>
        <w:gridCol w:w="3515"/>
        <w:gridCol w:w="3402"/>
      </w:tblGrid>
      <w:tr w:rsidR="00E86255" w14:paraId="52702F91"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83756"/>
            <w:vAlign w:val="center"/>
          </w:tcPr>
          <w:p w14:paraId="386E251F" w14:textId="77777777" w:rsidR="00E86255" w:rsidRDefault="00346CDB" w:rsidP="00EC53EE">
            <w:pPr>
              <w:spacing w:before="40" w:after="40"/>
              <w:jc w:val="both"/>
            </w:pPr>
            <w:r>
              <w:rPr>
                <w:color w:val="FFFFFF"/>
                <w:sz w:val="17"/>
              </w:rPr>
              <w:t>Check and result</w:t>
            </w:r>
          </w:p>
        </w:tc>
        <w:tc>
          <w:tcPr>
            <w:tcW w:w="3515" w:type="dxa"/>
            <w:shd w:val="clear" w:color="auto" w:fill="183756"/>
            <w:vAlign w:val="center"/>
          </w:tcPr>
          <w:p w14:paraId="7492F412"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What it establishes</w:t>
            </w:r>
          </w:p>
        </w:tc>
        <w:tc>
          <w:tcPr>
            <w:tcW w:w="3402" w:type="dxa"/>
            <w:shd w:val="clear" w:color="auto" w:fill="183756"/>
            <w:vAlign w:val="center"/>
          </w:tcPr>
          <w:p w14:paraId="44AA4043"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What it does not establish</w:t>
            </w:r>
          </w:p>
        </w:tc>
      </w:tr>
      <w:tr w:rsidR="00E86255" w14:paraId="68B03A56"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4DDB6BA" w14:textId="77777777" w:rsidR="00E86255" w:rsidRDefault="00346CDB" w:rsidP="00EC53EE">
            <w:pPr>
              <w:spacing w:before="40" w:after="40"/>
              <w:jc w:val="both"/>
            </w:pPr>
            <w:r>
              <w:rPr>
                <w:color w:val="1A1A1A"/>
                <w:sz w:val="17"/>
              </w:rPr>
              <w:lastRenderedPageBreak/>
              <w:t>A  number_of_units = 1</w:t>
            </w:r>
            <w:r>
              <w:rPr>
                <w:color w:val="1A1A1A"/>
                <w:sz w:val="17"/>
              </w:rPr>
              <w:br/>
              <w:t>FAIL · 180 rows</w:t>
            </w:r>
          </w:p>
        </w:tc>
        <w:tc>
          <w:tcPr>
            <w:tcW w:w="3515" w:type="dxa"/>
            <w:vAlign w:val="center"/>
          </w:tcPr>
          <w:p w14:paraId="38B7CA5F" w14:textId="77777777" w:rsidR="00510208" w:rsidRPr="00C473DE"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C473DE">
              <w:rPr>
                <w:sz w:val="17"/>
                <w:szCs w:val="17"/>
              </w:rPr>
              <w:t>The check flags the 180 rows where more than one unit is recorded. This supports the analysis by distinguishing multi-unit transactions from single-unit transactions. These records may be legitimate bulk sales and are not automatically errors; their treatment depends on the analytical question.</w:t>
            </w:r>
          </w:p>
        </w:tc>
        <w:tc>
          <w:tcPr>
            <w:tcW w:w="3402" w:type="dxa"/>
            <w:vAlign w:val="center"/>
          </w:tcPr>
          <w:p w14:paraId="7DDB7F51" w14:textId="77777777" w:rsidR="00510208" w:rsidRPr="00C473DE"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C473DE">
              <w:rPr>
                <w:sz w:val="17"/>
                <w:szCs w:val="17"/>
              </w:rPr>
              <w:t>That the rows are wrong. They are retained in the dataset, but should be identified when analysing typical single-unit prices or transaction values.</w:t>
            </w:r>
          </w:p>
        </w:tc>
      </w:tr>
      <w:tr w:rsidR="00E86255" w14:paraId="058B16D5"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EDF1F5"/>
            <w:vAlign w:val="center"/>
          </w:tcPr>
          <w:p w14:paraId="4BBAF572" w14:textId="77777777" w:rsidR="00E86255" w:rsidRDefault="00346CDB" w:rsidP="00EC53EE">
            <w:pPr>
              <w:spacing w:before="40" w:after="40"/>
              <w:jc w:val="both"/>
            </w:pPr>
            <w:r>
              <w:rPr>
                <w:color w:val="1A1A1A"/>
                <w:sz w:val="17"/>
              </w:rPr>
              <w:t>B  transacted_price ≤ S$75,000,000</w:t>
            </w:r>
            <w:r>
              <w:rPr>
                <w:color w:val="1A1A1A"/>
                <w:sz w:val="17"/>
              </w:rPr>
              <w:br/>
              <w:t>FAIL · 72 rows</w:t>
            </w:r>
          </w:p>
        </w:tc>
        <w:tc>
          <w:tcPr>
            <w:tcW w:w="3515" w:type="dxa"/>
            <w:shd w:val="clear" w:color="auto" w:fill="EDF1F5"/>
            <w:vAlign w:val="center"/>
          </w:tcPr>
          <w:p w14:paraId="5E66E816" w14:textId="77777777" w:rsidR="00510208" w:rsidRPr="00C473DE" w:rsidRDefault="00446B68" w:rsidP="00EC53EE">
            <w:pPr>
              <w:jc w:val="both"/>
              <w:cnfStyle w:val="000000000000" w:firstRow="0" w:lastRow="0" w:firstColumn="0" w:lastColumn="0" w:oddVBand="0" w:evenVBand="0" w:oddHBand="0" w:evenHBand="0" w:firstRowFirstColumn="0" w:firstRowLastColumn="0" w:lastRowFirstColumn="0" w:lastRowLastColumn="0"/>
              <w:rPr>
                <w:sz w:val="17"/>
                <w:szCs w:val="17"/>
              </w:rPr>
            </w:pPr>
            <w:r w:rsidRPr="00C473DE">
              <w:rPr>
                <w:sz w:val="17"/>
                <w:szCs w:val="17"/>
              </w:rPr>
              <w:t>S$75 million is used as an assumed upper price threshold for a single unit. The check flags 72 transactions above this amount for review. Of these, 71 also appear among the multi-unit transactions, suggesting that bulk sales explain most of the high-price flags.</w:t>
            </w:r>
          </w:p>
        </w:tc>
        <w:tc>
          <w:tcPr>
            <w:tcW w:w="3402" w:type="dxa"/>
            <w:shd w:val="clear" w:color="auto" w:fill="EDF1F5"/>
            <w:vAlign w:val="center"/>
          </w:tcPr>
          <w:p w14:paraId="2CE26D62" w14:textId="77777777" w:rsidR="00510208" w:rsidRPr="00C473DE" w:rsidRDefault="00446B68" w:rsidP="00EC53EE">
            <w:pPr>
              <w:jc w:val="both"/>
              <w:cnfStyle w:val="000000000000" w:firstRow="0" w:lastRow="0" w:firstColumn="0" w:lastColumn="0" w:oddVBand="0" w:evenVBand="0" w:oddHBand="0" w:evenHBand="0" w:firstRowFirstColumn="0" w:firstRowLastColumn="0" w:lastRowFirstColumn="0" w:lastRowLastColumn="0"/>
              <w:rPr>
                <w:sz w:val="17"/>
                <w:szCs w:val="17"/>
              </w:rPr>
            </w:pPr>
            <w:r w:rsidRPr="00C473DE">
              <w:rPr>
                <w:sz w:val="17"/>
                <w:szCs w:val="17"/>
              </w:rPr>
              <w:t>That a flagged transaction is invalid or must involve multiple units. The threshold is a screening assumption, not proof. One flagged transaction was not identified as multi-unit and warrants further investigation.</w:t>
            </w:r>
          </w:p>
        </w:tc>
      </w:tr>
      <w:tr w:rsidR="00E86255" w14:paraId="3D047DC2"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3F78EC5" w14:textId="77777777" w:rsidR="00E86255" w:rsidRDefault="00346CDB" w:rsidP="00EC53EE">
            <w:pPr>
              <w:spacing w:before="40" w:after="40"/>
              <w:jc w:val="both"/>
            </w:pPr>
            <w:r>
              <w:rPr>
                <w:color w:val="1A1A1A"/>
                <w:sz w:val="17"/>
              </w:rPr>
              <w:t>C  percentage_difference within ±2.5%</w:t>
            </w:r>
            <w:r>
              <w:rPr>
                <w:color w:val="1A1A1A"/>
                <w:sz w:val="17"/>
              </w:rPr>
              <w:br/>
              <w:t>FAIL · 202 rows</w:t>
            </w:r>
          </w:p>
        </w:tc>
        <w:tc>
          <w:tcPr>
            <w:tcW w:w="3515" w:type="dxa"/>
            <w:vAlign w:val="center"/>
          </w:tcPr>
          <w:p w14:paraId="0B2CE78C" w14:textId="77777777" w:rsidR="00510208" w:rsidRPr="00C473DE"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C473DE">
              <w:rPr>
                <w:sz w:val="17"/>
                <w:szCs w:val="17"/>
              </w:rPr>
              <w:t>This check compares transacted_price with the reconstructed price area_sqft × unit_price_psf. The ±2.5% tolerance flags records where the difference is large enough to warrant investigation. It identified 202 transactions outside the tolerance. Rounding unit_price_psf to whole dollars was investigated but was too small to explain the observed differences.</w:t>
            </w:r>
          </w:p>
        </w:tc>
        <w:tc>
          <w:tcPr>
            <w:tcW w:w="3402" w:type="dxa"/>
            <w:vAlign w:val="center"/>
          </w:tcPr>
          <w:p w14:paraId="54BBA061" w14:textId="44571659" w:rsidR="00510208" w:rsidRPr="00C473DE" w:rsidRDefault="00446B68" w:rsidP="00EC53EE">
            <w:pPr>
              <w:jc w:val="both"/>
              <w:cnfStyle w:val="000000100000" w:firstRow="0" w:lastRow="0" w:firstColumn="0" w:lastColumn="0" w:oddVBand="0" w:evenVBand="0" w:oddHBand="1" w:evenHBand="0" w:firstRowFirstColumn="0" w:firstRowLastColumn="0" w:lastRowFirstColumn="0" w:lastRowLastColumn="0"/>
              <w:rPr>
                <w:sz w:val="17"/>
                <w:szCs w:val="17"/>
              </w:rPr>
            </w:pPr>
            <w:r w:rsidRPr="00C473DE">
              <w:rPr>
                <w:sz w:val="17"/>
                <w:szCs w:val="17"/>
              </w:rPr>
              <w:t>Why the differences occur. Both component values and the published price come from the source data, but the cause of the remaining discrepancies has not been established. The records are therefore reported as unresolved</w:t>
            </w:r>
            <w:r w:rsidR="00177301" w:rsidRPr="00C473DE">
              <w:rPr>
                <w:sz w:val="17"/>
                <w:szCs w:val="17"/>
              </w:rPr>
              <w:t xml:space="preserve"> and raise for further investigation.</w:t>
            </w:r>
          </w:p>
        </w:tc>
      </w:tr>
    </w:tbl>
    <w:p w14:paraId="7059511E" w14:textId="7B498D30" w:rsidR="00E86255" w:rsidRDefault="00014CA4" w:rsidP="00014CA4">
      <w:pPr>
        <w:keepLines/>
        <w:spacing w:before="60" w:after="160"/>
        <w:jc w:val="both"/>
      </w:pPr>
      <w:r>
        <w:rPr>
          <w:i/>
          <w:color w:val="555C64"/>
          <w:sz w:val="17"/>
        </w:rPr>
        <w:t>Table 8 — The three failing expectations. Each row separates what the evidence supports from what it does not.</w:t>
      </w:r>
    </w:p>
    <w:p w14:paraId="2D89DD57" w14:textId="77777777" w:rsidR="00E86255" w:rsidRDefault="00346CDB" w:rsidP="00EC53EE">
      <w:pPr>
        <w:spacing w:after="140"/>
        <w:jc w:val="both"/>
      </w:pPr>
      <w:r>
        <w:t>These checks are screening mechanisms for understanding the data, not simply pass-or-fail rules. The multi-unit and high-price checks identify transactions that may need different treatment in particular analyses, while the price-reconstruction check highlights records requiring further investigation. We retain the source transactions and make the analytical treatment explicit rather than deleting records or changing thresholds solely to obtain passing results.</w:t>
      </w:r>
    </w:p>
    <w:p w14:paraId="1CFD2CBF" w14:textId="77777777" w:rsidR="00E86255" w:rsidRDefault="00346CDB" w:rsidP="00EC53EE">
      <w:pPr>
        <w:pStyle w:val="Heading1"/>
        <w:jc w:val="both"/>
      </w:pPr>
      <w:r>
        <w:t>7. Analysis and findings</w:t>
      </w:r>
    </w:p>
    <w:p w14:paraId="37AA6292" w14:textId="77777777" w:rsidR="00E86255" w:rsidRDefault="00346CDB" w:rsidP="00EC53EE">
      <w:pPr>
        <w:spacing w:after="140"/>
        <w:jc w:val="both"/>
      </w:pPr>
      <w:r>
        <w:rPr>
          <w:color w:val="1A1A1A"/>
          <w:sz w:val="21"/>
        </w:rPr>
        <w:t>The analysis connects to BigQuery with SQLAlchemy, loads the fact and dimension tables into pandas, and joins them on the warehouse keys. Medians are used throughout rather than means: property prices are strongly right-skewed, and the 180 bulk rows in section 6.3 would distort every average.</w:t>
      </w:r>
    </w:p>
    <w:p w14:paraId="1E9443F2" w14:textId="77777777" w:rsidR="00E86255" w:rsidRDefault="00346CDB" w:rsidP="00EC53EE">
      <w:pPr>
        <w:pStyle w:val="Heading2"/>
        <w:jc w:val="both"/>
      </w:pPr>
      <w:r>
        <w:lastRenderedPageBreak/>
        <w:t>7.1 Price and volume over time</w:t>
      </w:r>
    </w:p>
    <w:p w14:paraId="38FF6AA3" w14:textId="77777777" w:rsidR="00E86255" w:rsidRDefault="00346CDB" w:rsidP="00EC53EE">
      <w:pPr>
        <w:spacing w:before="120" w:after="60"/>
        <w:jc w:val="both"/>
      </w:pPr>
      <w:r>
        <w:rPr>
          <w:noProof/>
        </w:rPr>
        <w:drawing>
          <wp:inline distT="0" distB="0" distL="0" distR="0" wp14:anchorId="36F20A40" wp14:editId="7E801509">
            <wp:extent cx="5832000" cy="3861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nthly.png"/>
                    <pic:cNvPicPr/>
                  </pic:nvPicPr>
                  <pic:blipFill>
                    <a:blip r:embed="rId10"/>
                    <a:stretch>
                      <a:fillRect/>
                    </a:stretch>
                  </pic:blipFill>
                  <pic:spPr>
                    <a:xfrm>
                      <a:off x="0" y="0"/>
                      <a:ext cx="5832000" cy="3861529"/>
                    </a:xfrm>
                    <a:prstGeom prst="rect">
                      <a:avLst/>
                    </a:prstGeom>
                  </pic:spPr>
                </pic:pic>
              </a:graphicData>
            </a:graphic>
          </wp:inline>
        </w:drawing>
      </w:r>
    </w:p>
    <w:p w14:paraId="39AAD33F" w14:textId="77777777" w:rsidR="00E86255" w:rsidRDefault="00346CDB" w:rsidP="007F512F">
      <w:pPr>
        <w:keepLines/>
        <w:spacing w:before="60" w:after="160"/>
        <w:jc w:val="both"/>
      </w:pPr>
      <w:r>
        <w:rPr>
          <w:i/>
          <w:color w:val="555C64"/>
          <w:sz w:val="17"/>
        </w:rPr>
        <w:t>Figure 3. Monthly median price per sq ft (upper) and transaction count (lower). Both panels use the same time axis and separate y-axes.</w:t>
      </w:r>
    </w:p>
    <w:p w14:paraId="6976DE2B" w14:textId="77777777" w:rsidR="00E86255" w:rsidRDefault="00346CDB" w:rsidP="00EC53EE">
      <w:pPr>
        <w:spacing w:after="140"/>
        <w:jc w:val="both"/>
      </w:pPr>
      <w:r>
        <w:t>Median price per square foot rose 74% from its July 2015 trough of S$1,044 to S$1,813 in April 2022. The rise is not smooth — there is a clear plateau through 2015 and 2016 and a sharp step up from mid-2017. April 2022 is a partial month because the source data ends on 17 April, so it should not be compared with complete months without that qualification.</w:t>
      </w:r>
    </w:p>
    <w:p w14:paraId="10360000" w14:textId="77777777" w:rsidR="00E86255" w:rsidRDefault="00346CDB" w:rsidP="00EC53EE">
      <w:pPr>
        <w:spacing w:after="140"/>
        <w:jc w:val="both"/>
      </w:pPr>
      <w:r>
        <w:rPr>
          <w:color w:val="1A1A1A"/>
          <w:sz w:val="21"/>
        </w:rPr>
        <w:t>The two panels do not show a consistent month-by-month relationship between transaction volume and median price per square foot. March 2018, the busiest month at 3,662 transactions, occurs in the middle of the observed price range rather than at its peak. The quietest months recorded 529 transactions. Note that April 2022 is a partial month because the source period ends on 17 April.</w:t>
      </w:r>
    </w:p>
    <w:p w14:paraId="02AAB474" w14:textId="77777777" w:rsidR="00E86255" w:rsidRDefault="00346CDB" w:rsidP="00EC53EE">
      <w:pPr>
        <w:pStyle w:val="Heading2"/>
        <w:jc w:val="both"/>
      </w:pPr>
      <w:r>
        <w:t>7.2 The most-traded projects</w:t>
      </w:r>
    </w:p>
    <w:p w14:paraId="69D97F4F" w14:textId="77777777" w:rsidR="00E86255" w:rsidRDefault="00346CDB" w:rsidP="00EC53EE">
      <w:pPr>
        <w:spacing w:before="120" w:after="60"/>
        <w:jc w:val="both"/>
      </w:pPr>
      <w:r>
        <w:rPr>
          <w:noProof/>
        </w:rPr>
        <w:drawing>
          <wp:inline distT="0" distB="0" distL="0" distR="0" wp14:anchorId="12B3E7AB" wp14:editId="498C9B62">
            <wp:extent cx="6220800" cy="2604770"/>
            <wp:effectExtent l="0" t="0" r="889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10.png"/>
                    <pic:cNvPicPr/>
                  </pic:nvPicPr>
                  <pic:blipFill>
                    <a:blip r:embed="rId11"/>
                    <a:stretch>
                      <a:fillRect/>
                    </a:stretch>
                  </pic:blipFill>
                  <pic:spPr>
                    <a:xfrm>
                      <a:off x="0" y="0"/>
                      <a:ext cx="6235187" cy="2610794"/>
                    </a:xfrm>
                    <a:prstGeom prst="rect">
                      <a:avLst/>
                    </a:prstGeom>
                  </pic:spPr>
                </pic:pic>
              </a:graphicData>
            </a:graphic>
          </wp:inline>
        </w:drawing>
      </w:r>
    </w:p>
    <w:p w14:paraId="57F5EA3E" w14:textId="77777777" w:rsidR="00E86255" w:rsidRDefault="00346CDB" w:rsidP="00FD468E">
      <w:pPr>
        <w:keepLines/>
        <w:spacing w:before="60" w:after="160"/>
        <w:jc w:val="both"/>
      </w:pPr>
      <w:r>
        <w:rPr>
          <w:i/>
          <w:color w:val="555C64"/>
          <w:sz w:val="17"/>
        </w:rPr>
        <w:t>Figure 4. Ten projects ranked by recorded transaction count, with median price per sq ft shown for context. Transaction count is not a measure of desirability.</w:t>
      </w:r>
    </w:p>
    <w:p w14:paraId="102836A0" w14:textId="77777777" w:rsidR="00E86255" w:rsidRDefault="00346CDB" w:rsidP="00EC53EE">
      <w:pPr>
        <w:spacing w:after="140"/>
        <w:jc w:val="both"/>
      </w:pPr>
      <w:r>
        <w:rPr>
          <w:color w:val="1A1A1A"/>
          <w:sz w:val="21"/>
        </w:rPr>
        <w:lastRenderedPageBreak/>
        <w:t>Treasure At Tampines leads with 2,208 transactions — 1.3% of the whole dataset by itself. All ten are large new launches, which is what the transaction count is really measuring: these are not the most desirable projects, they are the biggest ones, selling many units in a short window.</w:t>
      </w:r>
    </w:p>
    <w:p w14:paraId="71C45364" w14:textId="77777777" w:rsidR="00E86255" w:rsidRDefault="00346CDB" w:rsidP="00EC53EE">
      <w:pPr>
        <w:spacing w:after="140"/>
        <w:jc w:val="both"/>
      </w:pPr>
      <w:r>
        <w:rPr>
          <w:color w:val="1A1A1A"/>
          <w:sz w:val="21"/>
        </w:rPr>
        <w:t>Reading count and price together is what makes the chart useful. High Park Residences records 1,704 transactions at a median of S$1,021 per sq ft, while Stirling Residences records 1,273 at S$1,831 — nearly double the price for a comparable volume. Volume and price per square foot are close to independent in this group.</w:t>
      </w:r>
    </w:p>
    <w:p w14:paraId="13C0172C" w14:textId="77777777" w:rsidR="00E86255" w:rsidRDefault="00346CDB" w:rsidP="00EC53EE">
      <w:pPr>
        <w:pStyle w:val="Heading2"/>
        <w:jc w:val="both"/>
      </w:pPr>
      <w:r>
        <w:t>7.3 Location</w:t>
      </w:r>
    </w:p>
    <w:p w14:paraId="4B459F91" w14:textId="77777777" w:rsidR="00E86255" w:rsidRDefault="00346CDB" w:rsidP="00EC53EE">
      <w:pPr>
        <w:spacing w:before="120" w:after="60"/>
        <w:jc w:val="both"/>
      </w:pPr>
      <w:r>
        <w:rPr>
          <w:noProof/>
        </w:rPr>
        <w:drawing>
          <wp:inline distT="0" distB="0" distL="0" distR="0" wp14:anchorId="034CB853" wp14:editId="31480512">
            <wp:extent cx="5832000" cy="23208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on.png"/>
                    <pic:cNvPicPr/>
                  </pic:nvPicPr>
                  <pic:blipFill>
                    <a:blip r:embed="rId12"/>
                    <a:stretch>
                      <a:fillRect/>
                    </a:stretch>
                  </pic:blipFill>
                  <pic:spPr>
                    <a:xfrm>
                      <a:off x="0" y="0"/>
                      <a:ext cx="5832000" cy="2320851"/>
                    </a:xfrm>
                    <a:prstGeom prst="rect">
                      <a:avLst/>
                    </a:prstGeom>
                  </pic:spPr>
                </pic:pic>
              </a:graphicData>
            </a:graphic>
          </wp:inline>
        </w:drawing>
      </w:r>
    </w:p>
    <w:p w14:paraId="49075A70" w14:textId="77777777" w:rsidR="00E86255" w:rsidRDefault="00346CDB" w:rsidP="00EC53EE">
      <w:pPr>
        <w:keepLines/>
        <w:spacing w:before="60" w:after="160"/>
        <w:jc w:val="both"/>
      </w:pPr>
      <w:r>
        <w:rPr>
          <w:i/>
          <w:color w:val="555C64"/>
          <w:sz w:val="17"/>
        </w:rPr>
        <w:t>Figure 5. Median price per sq ft by planning region, with transaction counts. The five regions account for all 170,224 transactions.</w:t>
      </w:r>
    </w:p>
    <w:p w14:paraId="3A254F95" w14:textId="3231D884" w:rsidR="00E86255" w:rsidRDefault="00346CDB" w:rsidP="00EC53EE">
      <w:pPr>
        <w:spacing w:after="140"/>
        <w:jc w:val="both"/>
      </w:pPr>
      <w:r>
        <w:rPr>
          <w:color w:val="1A1A1A"/>
          <w:sz w:val="21"/>
        </w:rPr>
        <w:t>Among the attributes compared in this analysis, region shows a substantial difference in median price per square foot. The Central Region's median of S$1,689 is 1.59 times the North Region's S$1,065. This is a descriptive comparison, not an estimate of the causal effect of location.</w:t>
      </w:r>
    </w:p>
    <w:p w14:paraId="446AD940" w14:textId="77777777" w:rsidR="00E86255" w:rsidRDefault="00346CDB" w:rsidP="00EC53EE">
      <w:pPr>
        <w:spacing w:after="140"/>
        <w:jc w:val="both"/>
      </w:pPr>
      <w:r>
        <w:rPr>
          <w:color w:val="1A1A1A"/>
          <w:sz w:val="21"/>
        </w:rPr>
        <w:t>Volume and price again diverge. Central carries 86,110 transactions, more than half the market, at the highest price; North carries 5,993, the fewest, at the lowest. But East has more transactions than West (29,235 against 22,484) while being cheaper per square foot (S$1,120 against S$1,286), so the ranking by volume is not the ranking by price.</w:t>
      </w:r>
    </w:p>
    <w:p w14:paraId="521D4916" w14:textId="77777777" w:rsidR="00E86255" w:rsidRDefault="00346CDB" w:rsidP="00EC53EE">
      <w:pPr>
        <w:pStyle w:val="Heading2"/>
        <w:jc w:val="both"/>
      </w:pPr>
      <w:r>
        <w:t>7.4 Buyer groups</w:t>
      </w:r>
    </w:p>
    <w:p w14:paraId="4889ACDB" w14:textId="77777777" w:rsidR="00E86255" w:rsidRDefault="00346CDB" w:rsidP="00EC53EE">
      <w:pPr>
        <w:spacing w:after="140"/>
        <w:jc w:val="both"/>
      </w:pPr>
      <w:r>
        <w:rPr>
          <w:color w:val="1A1A1A"/>
          <w:sz w:val="21"/>
        </w:rPr>
        <w:t>The brief asks for customer segmentation by purchase behaviour. This dataset has no customer entity at all — URA publishes transactions, not buyers, and there is no identifier that persists across two sales. We therefore segment by purchaser_address_indicator, which records the kind of address the buyer gave: HDB, private, or not available. It is a proxy for buyer type, and we treat it as one.</w:t>
      </w:r>
    </w:p>
    <w:p w14:paraId="64B91B8F" w14:textId="77777777" w:rsidR="00E86255" w:rsidRDefault="00346CDB" w:rsidP="00EC53EE">
      <w:pPr>
        <w:spacing w:before="120" w:after="60"/>
        <w:jc w:val="both"/>
      </w:pPr>
      <w:r>
        <w:rPr>
          <w:noProof/>
        </w:rPr>
        <w:lastRenderedPageBreak/>
        <w:drawing>
          <wp:inline distT="0" distB="0" distL="0" distR="0" wp14:anchorId="32F750DE" wp14:editId="54E63082">
            <wp:extent cx="5832000" cy="2650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uyer.png"/>
                    <pic:cNvPicPr/>
                  </pic:nvPicPr>
                  <pic:blipFill>
                    <a:blip r:embed="rId13"/>
                    <a:stretch>
                      <a:fillRect/>
                    </a:stretch>
                  </pic:blipFill>
                  <pic:spPr>
                    <a:xfrm>
                      <a:off x="0" y="0"/>
                      <a:ext cx="5832000" cy="2650909"/>
                    </a:xfrm>
                    <a:prstGeom prst="rect">
                      <a:avLst/>
                    </a:prstGeom>
                  </pic:spPr>
                </pic:pic>
              </a:graphicData>
            </a:graphic>
          </wp:inline>
        </w:drawing>
      </w:r>
    </w:p>
    <w:p w14:paraId="2C631A29" w14:textId="77777777" w:rsidR="00E86255" w:rsidRDefault="00346CDB" w:rsidP="00EC53EE">
      <w:pPr>
        <w:keepLines/>
        <w:spacing w:before="60" w:after="160"/>
        <w:jc w:val="both"/>
      </w:pPr>
      <w:r>
        <w:rPr>
          <w:i/>
          <w:color w:val="555C64"/>
          <w:sz w:val="17"/>
        </w:rPr>
        <w:t>Figure 6. Three transaction measures across three recorded address groups, shown in separate panels because their units and scales differ.</w:t>
      </w:r>
    </w:p>
    <w:p w14:paraId="70EF6F3B" w14:textId="77777777" w:rsidR="00E86255" w:rsidRDefault="00346CDB" w:rsidP="00EC53EE">
      <w:pPr>
        <w:spacing w:after="140"/>
        <w:jc w:val="both"/>
      </w:pPr>
      <w:r>
        <w:rPr>
          <w:color w:val="1A1A1A"/>
          <w:sz w:val="21"/>
        </w:rPr>
        <w:t>The headline gap is smaller than it first appears. Buyers with an HDB address paid a median of S$1,100,260 against S$1,420,000 for buyers with a private address — a 23% gap in total price. But in price per square foot the gap narrows to 9% (S$1,327 against S$1,452), and the median home bought is 883 sq ft against 1,055. HDB-address buyers are mostly buying smaller homes, not materially cheaper space.</w:t>
      </w:r>
    </w:p>
    <w:p w14:paraId="2C8B308F" w14:textId="77777777" w:rsidR="00E86255" w:rsidRDefault="00346CDB" w:rsidP="00EC53EE">
      <w:pPr>
        <w:spacing w:after="140"/>
        <w:jc w:val="both"/>
        <w:rPr>
          <w:color w:val="1A1A1A"/>
          <w:sz w:val="21"/>
        </w:rPr>
      </w:pPr>
      <w:r>
        <w:rPr>
          <w:color w:val="1A1A1A"/>
          <w:sz w:val="21"/>
        </w:rPr>
        <w:t>The N.A. group has the fewest transactions (12,782), the smallest median homes (775 sq ft), and the highest median price per square foot (S$1,685). These figures describe the recorded transactions only. The dataset does not identify buyer nationality, investment intent or the reasons for the observed price differences.</w:t>
      </w:r>
    </w:p>
    <w:p w14:paraId="72D296D1" w14:textId="0E5C5153" w:rsidR="00E86255" w:rsidRDefault="00FD468E" w:rsidP="00EC53EE">
      <w:pPr>
        <w:pStyle w:val="Heading1"/>
        <w:jc w:val="both"/>
      </w:pPr>
      <w:r>
        <w:t>8</w:t>
      </w:r>
      <w:r w:rsidR="00346CDB">
        <w:t>. Repository map</w:t>
      </w:r>
    </w:p>
    <w:tbl>
      <w:tblPr>
        <w:tblStyle w:val="LightShading-Accent1"/>
        <w:tblW w:w="0" w:type="auto"/>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ook w:val="04A0" w:firstRow="1" w:lastRow="0" w:firstColumn="1" w:lastColumn="0" w:noHBand="0" w:noVBand="1"/>
      </w:tblPr>
      <w:tblGrid>
        <w:gridCol w:w="3742"/>
        <w:gridCol w:w="5443"/>
      </w:tblGrid>
      <w:tr w:rsidR="00E86255" w14:paraId="7C3A8911" w14:textId="77777777" w:rsidTr="00E8625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2" w:type="dxa"/>
            <w:shd w:val="clear" w:color="auto" w:fill="183756"/>
            <w:vAlign w:val="center"/>
          </w:tcPr>
          <w:p w14:paraId="13F0CAF6" w14:textId="77777777" w:rsidR="00E86255" w:rsidRDefault="00346CDB" w:rsidP="00EC53EE">
            <w:pPr>
              <w:spacing w:before="40" w:after="40"/>
              <w:jc w:val="both"/>
            </w:pPr>
            <w:r>
              <w:rPr>
                <w:color w:val="FFFFFF"/>
                <w:sz w:val="17"/>
              </w:rPr>
              <w:t>Path</w:t>
            </w:r>
          </w:p>
        </w:tc>
        <w:tc>
          <w:tcPr>
            <w:tcW w:w="5443" w:type="dxa"/>
            <w:shd w:val="clear" w:color="auto" w:fill="183756"/>
            <w:vAlign w:val="center"/>
          </w:tcPr>
          <w:p w14:paraId="17A6FCBC" w14:textId="77777777" w:rsidR="00E86255" w:rsidRDefault="00346CDB" w:rsidP="00EC53EE">
            <w:pPr>
              <w:spacing w:before="40" w:after="40"/>
              <w:jc w:val="both"/>
              <w:cnfStyle w:val="100000000000" w:firstRow="1" w:lastRow="0" w:firstColumn="0" w:lastColumn="0" w:oddVBand="0" w:evenVBand="0" w:oddHBand="0" w:evenHBand="0" w:firstRowFirstColumn="0" w:firstRowLastColumn="0" w:lastRowFirstColumn="0" w:lastRowLastColumn="0"/>
            </w:pPr>
            <w:r>
              <w:rPr>
                <w:color w:val="FFFFFF"/>
                <w:sz w:val="17"/>
              </w:rPr>
              <w:t>What it contains</w:t>
            </w:r>
          </w:p>
        </w:tc>
      </w:tr>
      <w:tr w:rsidR="00E86255" w14:paraId="0D4765B3"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2" w:type="dxa"/>
            <w:vAlign w:val="center"/>
          </w:tcPr>
          <w:p w14:paraId="6CA94A08" w14:textId="77777777" w:rsidR="00E86255" w:rsidRDefault="00346CDB" w:rsidP="00EC53EE">
            <w:pPr>
              <w:spacing w:before="40" w:after="40"/>
              <w:jc w:val="both"/>
            </w:pPr>
            <w:r>
              <w:rPr>
                <w:color w:val="1A1A1A"/>
                <w:sz w:val="17"/>
              </w:rPr>
              <w:t>Data/Raw_data/</w:t>
            </w:r>
          </w:p>
        </w:tc>
        <w:tc>
          <w:tcPr>
            <w:tcW w:w="5443" w:type="dxa"/>
            <w:vAlign w:val="center"/>
          </w:tcPr>
          <w:p w14:paraId="358A14A9"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19 URA CSV exports, unmodified</w:t>
            </w:r>
          </w:p>
        </w:tc>
      </w:tr>
      <w:tr w:rsidR="00E86255" w14:paraId="1195128D"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3742" w:type="dxa"/>
            <w:shd w:val="clear" w:color="auto" w:fill="EDF1F5"/>
            <w:vAlign w:val="center"/>
          </w:tcPr>
          <w:p w14:paraId="07153064" w14:textId="77777777" w:rsidR="00E86255" w:rsidRDefault="00346CDB" w:rsidP="00EC53EE">
            <w:pPr>
              <w:spacing w:before="40" w:after="40"/>
              <w:jc w:val="both"/>
            </w:pPr>
            <w:r>
              <w:rPr>
                <w:color w:val="1A1A1A"/>
                <w:sz w:val="17"/>
              </w:rPr>
              <w:t>1a_data_ingestion/notebook/pipeline.ipynb</w:t>
            </w:r>
          </w:p>
        </w:tc>
        <w:tc>
          <w:tcPr>
            <w:tcW w:w="5443" w:type="dxa"/>
            <w:shd w:val="clear" w:color="auto" w:fill="EDF1F5"/>
            <w:vAlign w:val="center"/>
          </w:tcPr>
          <w:p w14:paraId="52EE0DD2"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CSV → DuckDB, with a row-count assertion</w:t>
            </w:r>
          </w:p>
        </w:tc>
      </w:tr>
      <w:tr w:rsidR="00E86255" w14:paraId="1D7E3F52"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2" w:type="dxa"/>
            <w:vAlign w:val="center"/>
          </w:tcPr>
          <w:p w14:paraId="1EF555DC" w14:textId="77777777" w:rsidR="00E86255" w:rsidRDefault="00346CDB" w:rsidP="00EC53EE">
            <w:pPr>
              <w:spacing w:before="40" w:after="40"/>
              <w:jc w:val="both"/>
            </w:pPr>
            <w:r>
              <w:rPr>
                <w:color w:val="1A1A1A"/>
                <w:sz w:val="17"/>
              </w:rPr>
              <w:t>1b_data_extraction/meltano.yml</w:t>
            </w:r>
          </w:p>
        </w:tc>
        <w:tc>
          <w:tcPr>
            <w:tcW w:w="5443" w:type="dxa"/>
            <w:vAlign w:val="center"/>
          </w:tcPr>
          <w:p w14:paraId="44EB99F6"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tap-duckdb → target-bigquery configuration</w:t>
            </w:r>
          </w:p>
        </w:tc>
      </w:tr>
      <w:tr w:rsidR="00E86255" w14:paraId="29973DC3"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3742" w:type="dxa"/>
            <w:shd w:val="clear" w:color="auto" w:fill="EDF1F5"/>
            <w:vAlign w:val="center"/>
          </w:tcPr>
          <w:p w14:paraId="0F4FF52C" w14:textId="77777777" w:rsidR="00E86255" w:rsidRDefault="00346CDB" w:rsidP="00EC53EE">
            <w:pPr>
              <w:spacing w:before="40" w:after="40"/>
              <w:jc w:val="both"/>
            </w:pPr>
            <w:r>
              <w:rPr>
                <w:color w:val="1A1A1A"/>
                <w:sz w:val="17"/>
              </w:rPr>
              <w:t>2n3_data_transform/model/</w:t>
            </w:r>
          </w:p>
        </w:tc>
        <w:tc>
          <w:tcPr>
            <w:tcW w:w="5443" w:type="dxa"/>
            <w:shd w:val="clear" w:color="auto" w:fill="EDF1F5"/>
            <w:vAlign w:val="center"/>
          </w:tcPr>
          <w:p w14:paraId="097D5E4C"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dbt staging model and fact table, with schema.yml tests</w:t>
            </w:r>
          </w:p>
        </w:tc>
      </w:tr>
      <w:tr w:rsidR="00E86255" w14:paraId="4CAB6EDB"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2" w:type="dxa"/>
            <w:vAlign w:val="center"/>
          </w:tcPr>
          <w:p w14:paraId="2A292580" w14:textId="77777777" w:rsidR="00E86255" w:rsidRDefault="00346CDB" w:rsidP="00EC53EE">
            <w:pPr>
              <w:spacing w:before="40" w:after="40"/>
              <w:jc w:val="both"/>
            </w:pPr>
            <w:r>
              <w:rPr>
                <w:color w:val="1A1A1A"/>
                <w:sz w:val="17"/>
              </w:rPr>
              <w:t>2n3_data_transform/model/star/</w:t>
            </w:r>
          </w:p>
        </w:tc>
        <w:tc>
          <w:tcPr>
            <w:tcW w:w="5443" w:type="dxa"/>
            <w:vAlign w:val="center"/>
          </w:tcPr>
          <w:p w14:paraId="07907A2B"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dim_project, dim_location and their tests</w:t>
            </w:r>
          </w:p>
        </w:tc>
      </w:tr>
      <w:tr w:rsidR="00E86255" w14:paraId="3562A0C9"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3742" w:type="dxa"/>
            <w:shd w:val="clear" w:color="auto" w:fill="EDF1F5"/>
            <w:vAlign w:val="center"/>
          </w:tcPr>
          <w:p w14:paraId="67C899FA" w14:textId="77777777" w:rsidR="00E86255" w:rsidRDefault="00346CDB" w:rsidP="00EC53EE">
            <w:pPr>
              <w:spacing w:before="40" w:after="40"/>
              <w:jc w:val="both"/>
            </w:pPr>
            <w:r>
              <w:rPr>
                <w:color w:val="1A1A1A"/>
                <w:sz w:val="17"/>
              </w:rPr>
              <w:t>2n3_data_transform/tests/</w:t>
            </w:r>
          </w:p>
        </w:tc>
        <w:tc>
          <w:tcPr>
            <w:tcW w:w="5443" w:type="dxa"/>
            <w:shd w:val="clear" w:color="auto" w:fill="EDF1F5"/>
            <w:vAlign w:val="center"/>
          </w:tcPr>
          <w:p w14:paraId="15C80488"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The singular SQL test on the seven measures</w:t>
            </w:r>
          </w:p>
        </w:tc>
      </w:tr>
      <w:tr w:rsidR="00E86255" w14:paraId="626868B2" w14:textId="77777777" w:rsidTr="00E8625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2" w:type="dxa"/>
            <w:vAlign w:val="center"/>
          </w:tcPr>
          <w:p w14:paraId="23BF0E85" w14:textId="77777777" w:rsidR="00E86255" w:rsidRDefault="00346CDB" w:rsidP="00EC53EE">
            <w:pPr>
              <w:spacing w:before="40" w:after="40"/>
              <w:jc w:val="both"/>
            </w:pPr>
            <w:r>
              <w:rPr>
                <w:color w:val="1A1A1A"/>
                <w:sz w:val="17"/>
              </w:rPr>
              <w:t>4_data_quality_test_GX/GX_data_test.ipynb</w:t>
            </w:r>
          </w:p>
        </w:tc>
        <w:tc>
          <w:tcPr>
            <w:tcW w:w="5443" w:type="dxa"/>
            <w:vAlign w:val="center"/>
          </w:tcPr>
          <w:p w14:paraId="739CD370" w14:textId="77777777" w:rsidR="00E86255" w:rsidRDefault="00346CDB" w:rsidP="00EC53EE">
            <w:pPr>
              <w:spacing w:before="40" w:after="40"/>
              <w:jc w:val="both"/>
              <w:cnfStyle w:val="000000100000" w:firstRow="0" w:lastRow="0" w:firstColumn="0" w:lastColumn="0" w:oddVBand="0" w:evenVBand="0" w:oddHBand="1" w:evenHBand="0" w:firstRowFirstColumn="0" w:firstRowLastColumn="0" w:lastRowFirstColumn="0" w:lastRowLastColumn="0"/>
            </w:pPr>
            <w:r>
              <w:rPr>
                <w:color w:val="1A1A1A"/>
                <w:sz w:val="17"/>
              </w:rPr>
              <w:t>The 15-expectation Great Expectations suite</w:t>
            </w:r>
          </w:p>
        </w:tc>
      </w:tr>
      <w:tr w:rsidR="00E86255" w14:paraId="7435E17A" w14:textId="77777777" w:rsidTr="00E86255">
        <w:trPr>
          <w:cantSplit/>
          <w:jc w:val="center"/>
        </w:trPr>
        <w:tc>
          <w:tcPr>
            <w:cnfStyle w:val="001000000000" w:firstRow="0" w:lastRow="0" w:firstColumn="1" w:lastColumn="0" w:oddVBand="0" w:evenVBand="0" w:oddHBand="0" w:evenHBand="0" w:firstRowFirstColumn="0" w:firstRowLastColumn="0" w:lastRowFirstColumn="0" w:lastRowLastColumn="0"/>
            <w:tcW w:w="3742" w:type="dxa"/>
            <w:shd w:val="clear" w:color="auto" w:fill="EDF1F5"/>
            <w:vAlign w:val="center"/>
          </w:tcPr>
          <w:p w14:paraId="5A855BFD" w14:textId="77777777" w:rsidR="00E86255" w:rsidRDefault="00346CDB" w:rsidP="00EC53EE">
            <w:pPr>
              <w:spacing w:before="40" w:after="40"/>
              <w:jc w:val="both"/>
            </w:pPr>
            <w:r>
              <w:rPr>
                <w:color w:val="1A1A1A"/>
                <w:sz w:val="17"/>
              </w:rPr>
              <w:t>5_data_analysis_pathon/data_analysis.ipynb</w:t>
            </w:r>
          </w:p>
        </w:tc>
        <w:tc>
          <w:tcPr>
            <w:tcW w:w="5443" w:type="dxa"/>
            <w:shd w:val="clear" w:color="auto" w:fill="EDF1F5"/>
            <w:vAlign w:val="center"/>
          </w:tcPr>
          <w:p w14:paraId="4926E542" w14:textId="77777777" w:rsidR="00E86255" w:rsidRDefault="00346CDB" w:rsidP="00EC53EE">
            <w:pPr>
              <w:spacing w:before="40" w:after="40"/>
              <w:jc w:val="both"/>
              <w:cnfStyle w:val="000000000000" w:firstRow="0" w:lastRow="0" w:firstColumn="0" w:lastColumn="0" w:oddVBand="0" w:evenVBand="0" w:oddHBand="0" w:evenHBand="0" w:firstRowFirstColumn="0" w:firstRowLastColumn="0" w:lastRowFirstColumn="0" w:lastRowLastColumn="0"/>
            </w:pPr>
            <w:r>
              <w:rPr>
                <w:color w:val="1A1A1A"/>
                <w:sz w:val="17"/>
              </w:rPr>
              <w:t>SQLAlchemy + pandas analysis behind section 7</w:t>
            </w:r>
          </w:p>
        </w:tc>
      </w:tr>
    </w:tbl>
    <w:p w14:paraId="723C9ECB" w14:textId="4B005896" w:rsidR="00E86255" w:rsidRDefault="002551B5" w:rsidP="00EC53EE">
      <w:pPr>
        <w:keepLines/>
        <w:spacing w:before="60" w:after="160"/>
        <w:jc w:val="both"/>
      </w:pPr>
      <w:r>
        <w:rPr>
          <w:i/>
          <w:color w:val="555C64"/>
          <w:sz w:val="17"/>
        </w:rPr>
        <w:t>Table 9 — Where each component lives</w:t>
      </w:r>
    </w:p>
    <w:sectPr w:rsidR="00E86255" w:rsidSect="00034616">
      <w:footerReference w:type="default" r:id="rId14"/>
      <w:pgSz w:w="11906" w:h="16838"/>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CF597" w14:textId="77777777" w:rsidR="00446B68" w:rsidRDefault="00446B68">
      <w:pPr>
        <w:spacing w:after="0" w:line="240" w:lineRule="auto"/>
      </w:pPr>
      <w:r>
        <w:separator/>
      </w:r>
    </w:p>
  </w:endnote>
  <w:endnote w:type="continuationSeparator" w:id="0">
    <w:p w14:paraId="546C462A" w14:textId="77777777" w:rsidR="00446B68" w:rsidRDefault="00446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605E" w14:textId="77777777" w:rsidR="00E86255" w:rsidRDefault="00346CDB">
    <w:pPr>
      <w:pStyle w:val="Footer"/>
      <w:jc w:val="center"/>
    </w:pPr>
    <w:r>
      <w:rPr>
        <w:color w:val="737A82"/>
        <w:sz w:val="16"/>
      </w:rPr>
      <w:t xml:space="preserve">Singapore </w:t>
    </w:r>
    <w:r w:rsidR="006334D1">
      <w:rPr>
        <w:color w:val="737A82"/>
        <w:sz w:val="16"/>
      </w:rPr>
      <w:t xml:space="preserve">Private </w:t>
    </w:r>
    <w:r>
      <w:rPr>
        <w:color w:val="737A82"/>
        <w:sz w:val="16"/>
      </w:rPr>
      <w:t xml:space="preserve">Property </w:t>
    </w:r>
    <w:r w:rsidR="00C4115D">
      <w:rPr>
        <w:color w:val="737A82"/>
        <w:sz w:val="16"/>
      </w:rPr>
      <w:t xml:space="preserve">Transaction </w:t>
    </w:r>
    <w:r>
      <w:rPr>
        <w:color w:val="737A82"/>
        <w:sz w:val="16"/>
      </w:rPr>
      <w:t xml:space="preserve">Pipeline Report  •  </w:t>
    </w:r>
    <w:r>
      <w:rPr>
        <w:color w:val="737A82"/>
        <w:sz w:val="16"/>
      </w:rPr>
      <w:fldChar w:fldCharType="begin"/>
    </w:r>
    <w:r>
      <w:rPr>
        <w:color w:val="737A82"/>
        <w:sz w:val="16"/>
      </w:rPr>
      <w:instrText xml:space="preserve"> PAGE </w:instrText>
    </w:r>
    <w:r>
      <w:rPr>
        <w:color w:val="737A82"/>
        <w:sz w:val="16"/>
      </w:rPr>
      <w:fldChar w:fldCharType="separate"/>
    </w:r>
    <w:r w:rsidR="00C47835">
      <w:rPr>
        <w:noProof/>
        <w:color w:val="737A82"/>
        <w:sz w:val="16"/>
      </w:rPr>
      <w:t>1</w:t>
    </w:r>
    <w:r>
      <w:rPr>
        <w:color w:val="737A8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86B6" w14:textId="77777777" w:rsidR="00446B68" w:rsidRDefault="00446B68">
      <w:pPr>
        <w:spacing w:after="0" w:line="240" w:lineRule="auto"/>
      </w:pPr>
      <w:r>
        <w:separator/>
      </w:r>
    </w:p>
  </w:footnote>
  <w:footnote w:type="continuationSeparator" w:id="0">
    <w:p w14:paraId="38FDA57C" w14:textId="77777777" w:rsidR="00446B68" w:rsidRDefault="00446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943537">
    <w:abstractNumId w:val="8"/>
  </w:num>
  <w:num w:numId="2" w16cid:durableId="1137457231">
    <w:abstractNumId w:val="6"/>
  </w:num>
  <w:num w:numId="3" w16cid:durableId="1573274493">
    <w:abstractNumId w:val="5"/>
  </w:num>
  <w:num w:numId="4" w16cid:durableId="1152258688">
    <w:abstractNumId w:val="4"/>
  </w:num>
  <w:num w:numId="5" w16cid:durableId="576549730">
    <w:abstractNumId w:val="7"/>
  </w:num>
  <w:num w:numId="6" w16cid:durableId="586960913">
    <w:abstractNumId w:val="3"/>
  </w:num>
  <w:num w:numId="7" w16cid:durableId="1070081984">
    <w:abstractNumId w:val="2"/>
  </w:num>
  <w:num w:numId="8" w16cid:durableId="557975979">
    <w:abstractNumId w:val="1"/>
  </w:num>
  <w:num w:numId="9" w16cid:durableId="196239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A4"/>
    <w:rsid w:val="00032226"/>
    <w:rsid w:val="00034616"/>
    <w:rsid w:val="0006063C"/>
    <w:rsid w:val="00090251"/>
    <w:rsid w:val="000E1999"/>
    <w:rsid w:val="000E5E1C"/>
    <w:rsid w:val="0015074B"/>
    <w:rsid w:val="00177301"/>
    <w:rsid w:val="00192F4C"/>
    <w:rsid w:val="0019596E"/>
    <w:rsid w:val="001C1AAC"/>
    <w:rsid w:val="00222CA9"/>
    <w:rsid w:val="002551B5"/>
    <w:rsid w:val="0029639D"/>
    <w:rsid w:val="002A4ABD"/>
    <w:rsid w:val="002B05F7"/>
    <w:rsid w:val="00302C42"/>
    <w:rsid w:val="00326F90"/>
    <w:rsid w:val="00346CDB"/>
    <w:rsid w:val="003B6FFE"/>
    <w:rsid w:val="003C3F41"/>
    <w:rsid w:val="003D0AAD"/>
    <w:rsid w:val="00446B68"/>
    <w:rsid w:val="0046138A"/>
    <w:rsid w:val="004768C7"/>
    <w:rsid w:val="004826B3"/>
    <w:rsid w:val="00486D8B"/>
    <w:rsid w:val="004B0812"/>
    <w:rsid w:val="004B5C21"/>
    <w:rsid w:val="00510208"/>
    <w:rsid w:val="005B1DE8"/>
    <w:rsid w:val="005D467B"/>
    <w:rsid w:val="005F3446"/>
    <w:rsid w:val="005F4553"/>
    <w:rsid w:val="005F7CAF"/>
    <w:rsid w:val="006226A9"/>
    <w:rsid w:val="006334D1"/>
    <w:rsid w:val="00642729"/>
    <w:rsid w:val="006505C2"/>
    <w:rsid w:val="00653770"/>
    <w:rsid w:val="006A3875"/>
    <w:rsid w:val="006C79BE"/>
    <w:rsid w:val="007F512F"/>
    <w:rsid w:val="00803FC3"/>
    <w:rsid w:val="0094792E"/>
    <w:rsid w:val="00964850"/>
    <w:rsid w:val="009A2747"/>
    <w:rsid w:val="00A027D3"/>
    <w:rsid w:val="00A47F1D"/>
    <w:rsid w:val="00AA1D8D"/>
    <w:rsid w:val="00B10A5E"/>
    <w:rsid w:val="00B46B9D"/>
    <w:rsid w:val="00B47730"/>
    <w:rsid w:val="00B70F7C"/>
    <w:rsid w:val="00B8010F"/>
    <w:rsid w:val="00BA7FD3"/>
    <w:rsid w:val="00BE11AE"/>
    <w:rsid w:val="00C4115D"/>
    <w:rsid w:val="00C473DE"/>
    <w:rsid w:val="00C47835"/>
    <w:rsid w:val="00CB0664"/>
    <w:rsid w:val="00CB123F"/>
    <w:rsid w:val="00D246C0"/>
    <w:rsid w:val="00DE2CFB"/>
    <w:rsid w:val="00E209F5"/>
    <w:rsid w:val="00E42640"/>
    <w:rsid w:val="00E8141B"/>
    <w:rsid w:val="00E86255"/>
    <w:rsid w:val="00EA6915"/>
    <w:rsid w:val="00EB686C"/>
    <w:rsid w:val="00EC5212"/>
    <w:rsid w:val="00EC53EE"/>
    <w:rsid w:val="00ED1DB0"/>
    <w:rsid w:val="00F10B25"/>
    <w:rsid w:val="00F13777"/>
    <w:rsid w:val="00F16F36"/>
    <w:rsid w:val="00F2271E"/>
    <w:rsid w:val="00FC693F"/>
    <w:rsid w:val="00FD468E"/>
    <w:rsid w:val="00FF7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4BA2D"/>
  <w14:defaultImageDpi w14:val="300"/>
  <w15:docId w15:val="{0B969F10-A950-4A03-8696-FAF60AAB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Calibri" w:hAnsi="Aptos"/>
      <w:color w:val="2D343C"/>
      <w:sz w:val="20"/>
    </w:rPr>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b/>
      <w:bCs/>
      <w:color w:val="18375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35F82"/>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b/>
      <w:bCs/>
      <w:color w:val="167D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7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8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3028</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Private Property Transaction Pipeline</dc:title>
  <dc:subject>ELT pipeline, data quality testing, and descriptive analysis</dc:subject>
  <dc:creator>python-docx</dc:creator>
  <cp:keywords/>
  <dc:description>Improved editing pass: consistency, captions, typography, tables, and layout.</dc:description>
  <cp:lastModifiedBy>sy wong</cp:lastModifiedBy>
  <cp:revision>64</cp:revision>
  <dcterms:created xsi:type="dcterms:W3CDTF">2013-12-23T23:15:00Z</dcterms:created>
  <dcterms:modified xsi:type="dcterms:W3CDTF">2026-10-15T08:30:00Z</dcterms:modified>
  <cp:category/>
</cp:coreProperties>
</file>