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B063A" w14:textId="77777777" w:rsidR="00783F14" w:rsidRDefault="004A33EE" w:rsidP="0039452F">
      <w:pPr>
        <w:pStyle w:val="a"/>
        <w:spacing w:line="360" w:lineRule="auto"/>
        <w:ind w:firstLine="420"/>
        <w:jc w:val="both"/>
      </w:pPr>
      <w:r>
        <w:rPr>
          <w:color w:val="333333"/>
        </w:rPr>
        <w:t xml:space="preserve">As a new privacy protection technology, local differential privacy is the current research hotspot, which is mainly used in the field of statistical database. At present, the research direction of local differential privacy mainly involves </w:t>
      </w:r>
      <w:r>
        <w:rPr>
          <w:color w:val="333333"/>
        </w:rPr>
        <w:t>disturbance mechanism, single value frequency distribution, multi value frequency distribution and mean value distribution. Random response technology, as one of the disturbance mechanisms, has a simple and intuitive framework and the degree of disturbance</w:t>
      </w:r>
      <w:r>
        <w:rPr>
          <w:color w:val="333333"/>
        </w:rPr>
        <w:t xml:space="preserve"> can be directly quantified. Therefore, most of the research work of local differential privacy is based on random response technology, including the frequency distribution of discrete data.</w:t>
      </w:r>
    </w:p>
    <w:p w14:paraId="0CFAC055" w14:textId="77777777" w:rsidR="00783F14" w:rsidRDefault="004A33EE" w:rsidP="0039452F">
      <w:pPr>
        <w:pStyle w:val="a"/>
        <w:spacing w:line="360" w:lineRule="auto"/>
        <w:ind w:firstLine="420"/>
        <w:jc w:val="both"/>
      </w:pPr>
      <w:r>
        <w:rPr>
          <w:color w:val="333333"/>
        </w:rPr>
        <w:t>In our project, we learn from local differential privacy algorith</w:t>
      </w:r>
      <w:r>
        <w:rPr>
          <w:color w:val="333333"/>
        </w:rPr>
        <w:t xml:space="preserve">m PrivKVM and PrivKVM', whose disturbance mechanism is random response mechanism, but the protected value is continuous. Therefore, we set a certain range of discrete values according to the selection in specific social situations or various circumstances </w:t>
      </w:r>
      <w:r>
        <w:rPr>
          <w:color w:val="333333"/>
        </w:rPr>
        <w:t>when events happen and apply the improved local differential privacy algorithm PrivKVD to realize the privacy protection of discrete data.</w:t>
      </w:r>
    </w:p>
    <w:p w14:paraId="0AB12784" w14:textId="77777777" w:rsidR="00783F14" w:rsidRDefault="004A33EE" w:rsidP="0039452F">
      <w:pPr>
        <w:pStyle w:val="a"/>
        <w:spacing w:line="360" w:lineRule="auto"/>
        <w:ind w:firstLine="420"/>
        <w:jc w:val="both"/>
      </w:pPr>
      <w:r>
        <w:rPr>
          <w:color w:val="333333"/>
        </w:rPr>
        <w:t>The specific situation is as follows: in the internal system of a hospital, there are documents recording disease sit</w:t>
      </w:r>
      <w:r>
        <w:rPr>
          <w:color w:val="333333"/>
        </w:rPr>
        <w:t>uations of all kinds of patients, which can be classified as malignant tumor, benign tumor and non-tumor. Based on the humanitarian protection and privacy protection of patients, when processing their data, we first obtain [[0,0], [1,1], [0,0]] through the</w:t>
      </w:r>
      <w:r>
        <w:rPr>
          <w:color w:val="333333"/>
        </w:rPr>
        <w:t xml:space="preserve"> mapping function mapping() to indicate that the current patient has a benign </w:t>
      </w:r>
      <w:r>
        <w:rPr>
          <w:color w:val="333333"/>
        </w:rPr>
        <w:lastRenderedPageBreak/>
        <w:t>tumor; then use the algorithm PrivKVD to disturb the dataset, whose result is that external personnel can not know the specific patient's disease situation, but can analyze the p</w:t>
      </w:r>
      <w:r>
        <w:rPr>
          <w:color w:val="333333"/>
        </w:rPr>
        <w:t>roportion of a certain disease situation.</w:t>
      </w:r>
    </w:p>
    <w:p w14:paraId="51CBA4AE" w14:textId="77777777" w:rsidR="004A33EE" w:rsidRDefault="004A33EE" w:rsidP="0039452F">
      <w:pPr>
        <w:pStyle w:val="a"/>
        <w:spacing w:line="360" w:lineRule="auto"/>
        <w:jc w:val="center"/>
        <w:rPr>
          <w:color w:val="333333"/>
        </w:rPr>
      </w:pPr>
    </w:p>
    <w:p w14:paraId="2DC2D11A" w14:textId="77777777" w:rsidR="004A33EE" w:rsidRDefault="004A33EE" w:rsidP="0039452F">
      <w:pPr>
        <w:pStyle w:val="a"/>
        <w:spacing w:line="360" w:lineRule="auto"/>
        <w:jc w:val="center"/>
        <w:rPr>
          <w:color w:val="333333"/>
        </w:rPr>
      </w:pPr>
    </w:p>
    <w:p w14:paraId="4945B3FE" w14:textId="0C798A7F" w:rsidR="00783F14" w:rsidRDefault="004A33EE" w:rsidP="0039452F">
      <w:pPr>
        <w:pStyle w:val="a"/>
        <w:spacing w:line="360" w:lineRule="auto"/>
        <w:jc w:val="center"/>
      </w:pPr>
      <w:r>
        <w:rPr>
          <w:color w:val="333333"/>
        </w:rPr>
        <w:t>Table II</w:t>
      </w:r>
      <w:r w:rsidR="0039452F">
        <w:t xml:space="preserve"> </w:t>
      </w:r>
      <w:r>
        <w:rPr>
          <w:color w:val="333333"/>
        </w:rPr>
        <w:t>Notations</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98"/>
        <w:gridCol w:w="5856"/>
      </w:tblGrid>
      <w:tr w:rsidR="00783F14" w14:paraId="582E2073" w14:textId="77777777">
        <w:tblPrEx>
          <w:tblCellMar>
            <w:top w:w="0" w:type="dxa"/>
            <w:bottom w:w="0" w:type="dxa"/>
          </w:tblCellMar>
        </w:tblPrEx>
        <w:trPr>
          <w:trHeight w:val="450"/>
        </w:trPr>
        <w:tc>
          <w:tcPr>
            <w:tcW w:w="2398" w:type="dxa"/>
            <w:vAlign w:val="center"/>
          </w:tcPr>
          <w:p w14:paraId="1216E43A" w14:textId="77777777" w:rsidR="00783F14" w:rsidRDefault="004A33EE" w:rsidP="0039452F">
            <w:pPr>
              <w:spacing w:line="360" w:lineRule="auto"/>
              <w:jc w:val="center"/>
            </w:pPr>
            <w:r>
              <w:rPr>
                <w:b/>
                <w:color w:val="333333"/>
              </w:rPr>
              <w:t>Symbol</w:t>
            </w:r>
          </w:p>
        </w:tc>
        <w:tc>
          <w:tcPr>
            <w:tcW w:w="5855" w:type="dxa"/>
            <w:vAlign w:val="center"/>
          </w:tcPr>
          <w:p w14:paraId="133E4D74" w14:textId="77777777" w:rsidR="00783F14" w:rsidRDefault="004A33EE" w:rsidP="0039452F">
            <w:pPr>
              <w:spacing w:line="360" w:lineRule="auto"/>
              <w:jc w:val="center"/>
            </w:pPr>
            <w:r>
              <w:rPr>
                <w:b/>
                <w:color w:val="333333"/>
              </w:rPr>
              <w:t>Description</w:t>
            </w:r>
          </w:p>
        </w:tc>
      </w:tr>
      <w:tr w:rsidR="00783F14" w14:paraId="0FAB8506" w14:textId="77777777">
        <w:tblPrEx>
          <w:tblCellMar>
            <w:top w:w="0" w:type="dxa"/>
            <w:bottom w:w="0" w:type="dxa"/>
          </w:tblCellMar>
        </w:tblPrEx>
        <w:trPr>
          <w:trHeight w:val="450"/>
        </w:trPr>
        <w:tc>
          <w:tcPr>
            <w:tcW w:w="2398" w:type="dxa"/>
            <w:vAlign w:val="center"/>
          </w:tcPr>
          <w:p w14:paraId="7C9FB64A" w14:textId="77777777" w:rsidR="00783F14" w:rsidRDefault="004A33EE" w:rsidP="0039452F">
            <w:pPr>
              <w:spacing w:line="360" w:lineRule="auto"/>
              <w:jc w:val="center"/>
            </w:pPr>
            <w:r>
              <w:rPr>
                <w:color w:val="333333"/>
              </w:rPr>
              <w:t>U</w:t>
            </w:r>
          </w:p>
        </w:tc>
        <w:tc>
          <w:tcPr>
            <w:tcW w:w="5855" w:type="dxa"/>
            <w:vAlign w:val="center"/>
          </w:tcPr>
          <w:p w14:paraId="16211EE9" w14:textId="77777777" w:rsidR="00783F14" w:rsidRDefault="004A33EE" w:rsidP="0039452F">
            <w:pPr>
              <w:spacing w:line="360" w:lineRule="auto"/>
              <w:jc w:val="center"/>
            </w:pPr>
            <w:r>
              <w:rPr>
                <w:color w:val="333333"/>
              </w:rPr>
              <w:t>the set of users</w:t>
            </w:r>
          </w:p>
        </w:tc>
      </w:tr>
      <w:tr w:rsidR="00783F14" w14:paraId="24DFCAA4" w14:textId="77777777">
        <w:tblPrEx>
          <w:tblCellMar>
            <w:top w:w="0" w:type="dxa"/>
            <w:bottom w:w="0" w:type="dxa"/>
          </w:tblCellMar>
        </w:tblPrEx>
        <w:trPr>
          <w:trHeight w:val="450"/>
        </w:trPr>
        <w:tc>
          <w:tcPr>
            <w:tcW w:w="2398" w:type="dxa"/>
            <w:vAlign w:val="center"/>
          </w:tcPr>
          <w:p w14:paraId="421AE962" w14:textId="77777777" w:rsidR="00783F14" w:rsidRDefault="004A33EE" w:rsidP="0039452F">
            <w:pPr>
              <w:spacing w:line="360" w:lineRule="auto"/>
              <w:jc w:val="center"/>
            </w:pPr>
            <w:r>
              <w:rPr>
                <w:color w:val="333333"/>
              </w:rPr>
              <w:t>n</w:t>
            </w:r>
          </w:p>
        </w:tc>
        <w:tc>
          <w:tcPr>
            <w:tcW w:w="5855" w:type="dxa"/>
            <w:vAlign w:val="center"/>
          </w:tcPr>
          <w:p w14:paraId="1D7822E7" w14:textId="77777777" w:rsidR="00783F14" w:rsidRDefault="004A33EE" w:rsidP="0039452F">
            <w:pPr>
              <w:spacing w:line="360" w:lineRule="auto"/>
              <w:jc w:val="center"/>
            </w:pPr>
            <w:r>
              <w:rPr>
                <w:color w:val="333333"/>
              </w:rPr>
              <w:t>the number of users, n=|U|</w:t>
            </w:r>
          </w:p>
        </w:tc>
      </w:tr>
      <w:tr w:rsidR="00783F14" w14:paraId="2C002121" w14:textId="77777777">
        <w:tblPrEx>
          <w:tblCellMar>
            <w:top w:w="0" w:type="dxa"/>
            <w:bottom w:w="0" w:type="dxa"/>
          </w:tblCellMar>
        </w:tblPrEx>
        <w:trPr>
          <w:trHeight w:val="450"/>
        </w:trPr>
        <w:tc>
          <w:tcPr>
            <w:tcW w:w="2398" w:type="dxa"/>
            <w:vAlign w:val="center"/>
          </w:tcPr>
          <w:p w14:paraId="386DBD6F" w14:textId="77777777" w:rsidR="00783F14" w:rsidRDefault="004A33EE" w:rsidP="0039452F">
            <w:pPr>
              <w:spacing w:line="360" w:lineRule="auto"/>
              <w:jc w:val="center"/>
            </w:pPr>
            <w:r>
              <w:rPr>
                <w:color w:val="333333"/>
              </w:rPr>
              <w:t>k</w:t>
            </w:r>
          </w:p>
        </w:tc>
        <w:tc>
          <w:tcPr>
            <w:tcW w:w="5855" w:type="dxa"/>
            <w:vAlign w:val="center"/>
          </w:tcPr>
          <w:p w14:paraId="65092C94" w14:textId="77777777" w:rsidR="00783F14" w:rsidRDefault="004A33EE" w:rsidP="0039452F">
            <w:pPr>
              <w:spacing w:line="360" w:lineRule="auto"/>
              <w:jc w:val="center"/>
            </w:pPr>
            <w:r>
              <w:rPr>
                <w:color w:val="333333"/>
              </w:rPr>
              <w:t>the number of discrete values for choosing</w:t>
            </w:r>
          </w:p>
        </w:tc>
      </w:tr>
      <w:tr w:rsidR="00783F14" w14:paraId="0532D585" w14:textId="77777777">
        <w:tblPrEx>
          <w:tblCellMar>
            <w:top w:w="0" w:type="dxa"/>
            <w:bottom w:w="0" w:type="dxa"/>
          </w:tblCellMar>
        </w:tblPrEx>
        <w:trPr>
          <w:trHeight w:val="450"/>
        </w:trPr>
        <w:tc>
          <w:tcPr>
            <w:tcW w:w="2398" w:type="dxa"/>
            <w:vAlign w:val="center"/>
          </w:tcPr>
          <w:p w14:paraId="1C03B007" w14:textId="77777777" w:rsidR="00783F14" w:rsidRDefault="004A33EE" w:rsidP="0039452F">
            <w:pPr>
              <w:spacing w:line="360" w:lineRule="auto"/>
              <w:jc w:val="center"/>
            </w:pPr>
            <w:r>
              <w:rPr>
                <w:color w:val="333333"/>
              </w:rPr>
              <w:t>ui</w:t>
            </w:r>
          </w:p>
        </w:tc>
        <w:tc>
          <w:tcPr>
            <w:tcW w:w="5855" w:type="dxa"/>
            <w:vAlign w:val="center"/>
          </w:tcPr>
          <w:p w14:paraId="5484C97E" w14:textId="77777777" w:rsidR="00783F14" w:rsidRDefault="004A33EE" w:rsidP="0039452F">
            <w:pPr>
              <w:spacing w:line="360" w:lineRule="auto"/>
              <w:jc w:val="center"/>
            </w:pPr>
            <w:r>
              <w:rPr>
                <w:color w:val="333333"/>
              </w:rPr>
              <w:t>the i-th user in U</w:t>
            </w:r>
          </w:p>
        </w:tc>
      </w:tr>
      <w:tr w:rsidR="00783F14" w14:paraId="4C380F3D" w14:textId="77777777">
        <w:tblPrEx>
          <w:tblCellMar>
            <w:top w:w="0" w:type="dxa"/>
            <w:bottom w:w="0" w:type="dxa"/>
          </w:tblCellMar>
        </w:tblPrEx>
        <w:trPr>
          <w:trHeight w:val="450"/>
        </w:trPr>
        <w:tc>
          <w:tcPr>
            <w:tcW w:w="2398" w:type="dxa"/>
            <w:vAlign w:val="center"/>
          </w:tcPr>
          <w:p w14:paraId="0A3614A1" w14:textId="77777777" w:rsidR="00783F14" w:rsidRDefault="004A33EE" w:rsidP="0039452F">
            <w:pPr>
              <w:spacing w:line="360" w:lineRule="auto"/>
              <w:jc w:val="center"/>
            </w:pPr>
            <w:r>
              <w:rPr>
                <w:color w:val="333333"/>
              </w:rPr>
              <w:t>Si</w:t>
            </w:r>
          </w:p>
        </w:tc>
        <w:tc>
          <w:tcPr>
            <w:tcW w:w="5855" w:type="dxa"/>
            <w:vAlign w:val="center"/>
          </w:tcPr>
          <w:p w14:paraId="57C218A3" w14:textId="77777777" w:rsidR="00783F14" w:rsidRDefault="004A33EE" w:rsidP="0039452F">
            <w:pPr>
              <w:spacing w:line="360" w:lineRule="auto"/>
              <w:jc w:val="center"/>
            </w:pPr>
            <w:r>
              <w:rPr>
                <w:color w:val="333333"/>
              </w:rPr>
              <w:t>the set of KV pairs possessed by ui</w:t>
            </w:r>
          </w:p>
        </w:tc>
      </w:tr>
      <w:tr w:rsidR="00783F14" w14:paraId="3B75D2AC" w14:textId="77777777">
        <w:tblPrEx>
          <w:tblCellMar>
            <w:top w:w="0" w:type="dxa"/>
            <w:bottom w:w="0" w:type="dxa"/>
          </w:tblCellMar>
        </w:tblPrEx>
        <w:trPr>
          <w:trHeight w:val="450"/>
        </w:trPr>
        <w:tc>
          <w:tcPr>
            <w:tcW w:w="2398" w:type="dxa"/>
            <w:vAlign w:val="center"/>
          </w:tcPr>
          <w:p w14:paraId="1DAD71D3" w14:textId="77777777" w:rsidR="00783F14" w:rsidRDefault="004A33EE" w:rsidP="0039452F">
            <w:pPr>
              <w:spacing w:line="360" w:lineRule="auto"/>
              <w:jc w:val="center"/>
            </w:pPr>
            <w:r>
              <w:rPr>
                <w:color w:val="333333"/>
              </w:rPr>
              <w:t>⟨</w:t>
            </w:r>
            <w:r>
              <w:rPr>
                <w:color w:val="333333"/>
              </w:rPr>
              <w:t>kj,vj</w:t>
            </w:r>
            <w:r>
              <w:rPr>
                <w:color w:val="333333"/>
              </w:rPr>
              <w:t>⟩</w:t>
            </w:r>
          </w:p>
        </w:tc>
        <w:tc>
          <w:tcPr>
            <w:tcW w:w="5855" w:type="dxa"/>
            <w:vAlign w:val="center"/>
          </w:tcPr>
          <w:p w14:paraId="21F47D40" w14:textId="77777777" w:rsidR="00783F14" w:rsidRDefault="004A33EE" w:rsidP="0039452F">
            <w:pPr>
              <w:spacing w:line="360" w:lineRule="auto"/>
              <w:jc w:val="center"/>
            </w:pPr>
            <w:r>
              <w:rPr>
                <w:color w:val="333333"/>
              </w:rPr>
              <w:t xml:space="preserve">the </w:t>
            </w:r>
            <w:r>
              <w:rPr>
                <w:color w:val="333333"/>
              </w:rPr>
              <w:t>j-th KV pair in Si</w:t>
            </w:r>
          </w:p>
        </w:tc>
      </w:tr>
      <w:tr w:rsidR="00783F14" w14:paraId="204E71FA" w14:textId="77777777">
        <w:tblPrEx>
          <w:tblCellMar>
            <w:top w:w="0" w:type="dxa"/>
            <w:bottom w:w="0" w:type="dxa"/>
          </w:tblCellMar>
        </w:tblPrEx>
        <w:trPr>
          <w:trHeight w:val="450"/>
        </w:trPr>
        <w:tc>
          <w:tcPr>
            <w:tcW w:w="2398" w:type="dxa"/>
            <w:vAlign w:val="center"/>
          </w:tcPr>
          <w:p w14:paraId="321FE2D5" w14:textId="77777777" w:rsidR="00783F14" w:rsidRDefault="004A33EE" w:rsidP="0039452F">
            <w:pPr>
              <w:spacing w:line="360" w:lineRule="auto"/>
              <w:jc w:val="center"/>
            </w:pPr>
            <w:r>
              <w:rPr>
                <w:color w:val="333333"/>
              </w:rPr>
              <w:t>fk</w:t>
            </w:r>
          </w:p>
        </w:tc>
        <w:tc>
          <w:tcPr>
            <w:tcW w:w="5855" w:type="dxa"/>
            <w:vAlign w:val="center"/>
          </w:tcPr>
          <w:p w14:paraId="0C4DD0C3" w14:textId="77777777" w:rsidR="00783F14" w:rsidRDefault="004A33EE" w:rsidP="0039452F">
            <w:pPr>
              <w:spacing w:line="360" w:lineRule="auto"/>
              <w:jc w:val="center"/>
            </w:pPr>
            <w:r>
              <w:rPr>
                <w:color w:val="333333"/>
              </w:rPr>
              <w:t>the frequency of users' choice</w:t>
            </w:r>
          </w:p>
        </w:tc>
      </w:tr>
    </w:tbl>
    <w:p w14:paraId="7C7752F1" w14:textId="77777777" w:rsidR="00783F14" w:rsidRDefault="004A33EE" w:rsidP="0039452F">
      <w:pPr>
        <w:pStyle w:val="a"/>
        <w:spacing w:line="360" w:lineRule="auto"/>
        <w:ind w:firstLine="420"/>
        <w:jc w:val="both"/>
      </w:pPr>
      <w:r>
        <w:rPr>
          <w:color w:val="333333"/>
        </w:rPr>
        <w:t>This project studies the problem of distributed discrete data aggregation in the context of LDP. Without loss of generality, let the universe consist of a set of users U = {u1,u2,...,un} whose value do</w:t>
      </w:r>
      <w:r>
        <w:rPr>
          <w:color w:val="333333"/>
        </w:rPr>
        <w:t xml:space="preserve">main is the discrete domain containing a few numbers the situation specifies. The i-th user ui possesses [[0,0],...,[0,0],[1,1],[0,0],...,[0,0]] as key-value (KV) pair Si = </w:t>
      </w:r>
      <w:r>
        <w:rPr>
          <w:color w:val="333333"/>
        </w:rPr>
        <w:t>⟨</w:t>
      </w:r>
      <w:r>
        <w:rPr>
          <w:color w:val="333333"/>
        </w:rPr>
        <w:t>kj,v*</w:t>
      </w:r>
      <w:r>
        <w:rPr>
          <w:color w:val="333333"/>
        </w:rPr>
        <w:t>⟩</w:t>
      </w:r>
      <w:r>
        <w:rPr>
          <w:color w:val="333333"/>
        </w:rPr>
        <w:t xml:space="preserve"> where 1 ≤ j ≤ k, kj ∈{0,1}, v* ∈ {0,1}. The main notations are listed in Ta</w:t>
      </w:r>
      <w:r>
        <w:rPr>
          <w:color w:val="333333"/>
        </w:rPr>
        <w:t xml:space="preserve">ble II. </w:t>
      </w:r>
    </w:p>
    <w:p w14:paraId="08B5E090" w14:textId="77777777" w:rsidR="00783F14" w:rsidRDefault="004A33EE" w:rsidP="0039452F">
      <w:pPr>
        <w:pStyle w:val="a"/>
        <w:spacing w:line="360" w:lineRule="auto"/>
        <w:ind w:firstLine="420"/>
        <w:jc w:val="both"/>
      </w:pPr>
      <w:r>
        <w:rPr>
          <w:color w:val="333333"/>
        </w:rPr>
        <w:t>An untrusted data collector needs to estimate some statistics of these discrete data from all users. In this project, we focus on one fundamental estimation: frequency estimation. </w:t>
      </w:r>
    </w:p>
    <w:p w14:paraId="4474B546" w14:textId="77777777" w:rsidR="00783F14" w:rsidRDefault="004A33EE" w:rsidP="0039452F">
      <w:pPr>
        <w:pStyle w:val="a"/>
        <w:numPr>
          <w:ilvl w:val="1"/>
          <w:numId w:val="1"/>
        </w:numPr>
        <w:spacing w:line="360" w:lineRule="auto"/>
        <w:jc w:val="both"/>
        <w:rPr>
          <w:color w:val="333333"/>
        </w:rPr>
      </w:pPr>
      <w:r>
        <w:rPr>
          <w:color w:val="333333"/>
        </w:rPr>
        <w:lastRenderedPageBreak/>
        <w:t xml:space="preserve">Frequency estimation. The frequency of users' choice, fk, is </w:t>
      </w:r>
      <w:r>
        <w:rPr>
          <w:color w:val="333333"/>
        </w:rPr>
        <w:t>defined as the portion of users who possess a KV pair whose choice in the list has the index j. Formally for any choice j, </w:t>
      </w:r>
    </w:p>
    <w:p w14:paraId="4C5B2AC7" w14:textId="77777777" w:rsidR="00783F14" w:rsidRDefault="004A33EE" w:rsidP="0039452F">
      <w:pPr>
        <w:pStyle w:val="a"/>
        <w:spacing w:line="360" w:lineRule="auto"/>
        <w:ind w:left="1200" w:firstLine="420"/>
        <w:jc w:val="both"/>
      </w:pPr>
      <w:r>
        <w:rPr>
          <w:color w:val="333333"/>
        </w:rPr>
        <w:t>fk =| { ui | ∃</w:t>
      </w:r>
      <w:r>
        <w:rPr>
          <w:color w:val="333333"/>
        </w:rPr>
        <w:t>⟨</w:t>
      </w:r>
      <w:r>
        <w:rPr>
          <w:color w:val="333333"/>
        </w:rPr>
        <w:t>kj,v*</w:t>
      </w:r>
      <w:r>
        <w:rPr>
          <w:color w:val="333333"/>
        </w:rPr>
        <w:t>⟩</w:t>
      </w:r>
      <w:r>
        <w:rPr>
          <w:color w:val="333333"/>
        </w:rPr>
        <w:t xml:space="preserve"> } | / n</w:t>
      </w:r>
    </w:p>
    <w:p w14:paraId="6084E0CB" w14:textId="77777777" w:rsidR="00783F14" w:rsidRDefault="00783F14" w:rsidP="0039452F">
      <w:pPr>
        <w:pStyle w:val="a"/>
        <w:spacing w:line="360" w:lineRule="auto"/>
      </w:pPr>
    </w:p>
    <w:p w14:paraId="64B0B70B" w14:textId="77777777" w:rsidR="00783F14" w:rsidRDefault="00783F14" w:rsidP="0039452F">
      <w:pPr>
        <w:spacing w:line="360" w:lineRule="auto"/>
      </w:pPr>
    </w:p>
    <w:sectPr w:rsidR="00783F1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45B36"/>
    <w:multiLevelType w:val="hybridMultilevel"/>
    <w:tmpl w:val="BC046F5A"/>
    <w:lvl w:ilvl="0" w:tplc="C8CA67CC">
      <w:start w:val="1"/>
      <w:numFmt w:val="bullet"/>
      <w:lvlText w:val=""/>
      <w:lvlJc w:val="left"/>
      <w:pPr>
        <w:ind w:left="420" w:hanging="420"/>
      </w:pPr>
      <w:rPr>
        <w:rFonts w:ascii="Wingdings" w:hAnsi="Wingdings"/>
      </w:rPr>
    </w:lvl>
    <w:lvl w:ilvl="1" w:tplc="04090001">
      <w:start w:val="1"/>
      <w:numFmt w:val="bullet"/>
      <w:lvlText w:val=""/>
      <w:lvlJc w:val="left"/>
      <w:pPr>
        <w:ind w:left="780" w:hanging="360"/>
      </w:pPr>
      <w:rPr>
        <w:rFonts w:ascii="Symbol" w:hAnsi="Symbol" w:hint="default"/>
      </w:rPr>
    </w:lvl>
    <w:lvl w:ilvl="2" w:tplc="6A223A0A">
      <w:start w:val="1"/>
      <w:numFmt w:val="bullet"/>
      <w:lvlText w:val=""/>
      <w:lvlJc w:val="left"/>
      <w:pPr>
        <w:ind w:left="1260" w:hanging="420"/>
      </w:pPr>
      <w:rPr>
        <w:rFonts w:ascii="Wingdings" w:hAnsi="Wingdings"/>
      </w:rPr>
    </w:lvl>
    <w:lvl w:ilvl="3" w:tplc="FB94E8C6">
      <w:start w:val="1"/>
      <w:numFmt w:val="bullet"/>
      <w:lvlText w:val=""/>
      <w:lvlJc w:val="left"/>
      <w:pPr>
        <w:ind w:left="1680" w:hanging="420"/>
      </w:pPr>
      <w:rPr>
        <w:rFonts w:ascii="Wingdings" w:hAnsi="Wingdings"/>
      </w:rPr>
    </w:lvl>
    <w:lvl w:ilvl="4" w:tplc="7E725812">
      <w:start w:val="1"/>
      <w:numFmt w:val="bullet"/>
      <w:lvlText w:val=""/>
      <w:lvlJc w:val="left"/>
      <w:pPr>
        <w:ind w:left="2100" w:hanging="420"/>
      </w:pPr>
      <w:rPr>
        <w:rFonts w:ascii="Wingdings" w:hAnsi="Wingdings"/>
      </w:rPr>
    </w:lvl>
    <w:lvl w:ilvl="5" w:tplc="FF0E75BE">
      <w:start w:val="1"/>
      <w:numFmt w:val="bullet"/>
      <w:lvlText w:val=""/>
      <w:lvlJc w:val="left"/>
      <w:pPr>
        <w:ind w:left="2520" w:hanging="420"/>
      </w:pPr>
      <w:rPr>
        <w:rFonts w:ascii="Wingdings" w:hAnsi="Wingdings"/>
      </w:rPr>
    </w:lvl>
    <w:lvl w:ilvl="6" w:tplc="8E609ECE">
      <w:start w:val="1"/>
      <w:numFmt w:val="bullet"/>
      <w:lvlText w:val=""/>
      <w:lvlJc w:val="left"/>
      <w:pPr>
        <w:ind w:left="2940" w:hanging="420"/>
      </w:pPr>
      <w:rPr>
        <w:rFonts w:ascii="Wingdings" w:hAnsi="Wingdings"/>
      </w:rPr>
    </w:lvl>
    <w:lvl w:ilvl="7" w:tplc="D632FB6C">
      <w:start w:val="1"/>
      <w:numFmt w:val="bullet"/>
      <w:lvlText w:val=""/>
      <w:lvlJc w:val="left"/>
      <w:pPr>
        <w:ind w:left="3360" w:hanging="420"/>
      </w:pPr>
      <w:rPr>
        <w:rFonts w:ascii="Wingdings" w:hAnsi="Wingdings"/>
      </w:rPr>
    </w:lvl>
    <w:lvl w:ilvl="8" w:tplc="01BE2EDE">
      <w:start w:val="1"/>
      <w:numFmt w:val="bullet"/>
      <w:lvlText w:val=""/>
      <w:lvlJc w:val="left"/>
      <w:pPr>
        <w:ind w:left="3780" w:hanging="42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3F14"/>
    <w:rsid w:val="0039452F"/>
    <w:rsid w:val="004A33EE"/>
    <w:rsid w:val="005F2DF2"/>
    <w:rsid w:val="00783F14"/>
    <w:rsid w:val="00D21D1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4F09DC"/>
  <w15:docId w15:val="{704BEF45-4C84-FC41-B194-A3CCD5F0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YaHei" w:eastAsia="Microsoft YaHei" w:hAnsi="Microsoft YaHei" w:cs="Microsoft YaHei"/>
        <w:sz w:val="22"/>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石墨文档正文"/>
    <w:qFormat/>
    <w:rPr>
      <w:szCs w:val="22"/>
    </w:rPr>
  </w:style>
  <w:style w:type="paragraph" w:customStyle="1" w:styleId="a0">
    <w:name w:val="石墨文档副标题"/>
    <w:qFormat/>
    <w:pPr>
      <w:spacing w:before="260" w:after="260"/>
    </w:pPr>
    <w:rPr>
      <w:color w:val="888888"/>
      <w:sz w:val="48"/>
      <w:szCs w:val="48"/>
    </w:rPr>
  </w:style>
  <w:style w:type="paragraph" w:customStyle="1" w:styleId="a1">
    <w:name w:val="石墨文档大标题"/>
    <w:next w:val="a"/>
    <w:uiPriority w:val="9"/>
    <w:unhideWhenUsed/>
    <w:qFormat/>
    <w:pPr>
      <w:spacing w:before="260" w:after="260"/>
      <w:outlineLvl w:val="0"/>
    </w:pPr>
    <w:rPr>
      <w:b/>
      <w:bCs/>
      <w:sz w:val="40"/>
      <w:szCs w:val="40"/>
    </w:rPr>
  </w:style>
  <w:style w:type="paragraph" w:customStyle="1" w:styleId="a2">
    <w:name w:val="石墨文档中标题"/>
    <w:next w:val="a"/>
    <w:uiPriority w:val="9"/>
    <w:unhideWhenUsed/>
    <w:qFormat/>
    <w:pPr>
      <w:spacing w:before="260" w:after="260"/>
      <w:outlineLvl w:val="1"/>
    </w:pPr>
    <w:rPr>
      <w:b/>
      <w:bCs/>
      <w:sz w:val="36"/>
      <w:szCs w:val="36"/>
    </w:rPr>
  </w:style>
  <w:style w:type="paragraph" w:customStyle="1" w:styleId="a3">
    <w:name w:val="石墨文档小标题"/>
    <w:next w:val="a"/>
    <w:uiPriority w:val="9"/>
    <w:unhideWhenUsed/>
    <w:qFormat/>
    <w:pPr>
      <w:spacing w:before="260" w:after="260"/>
      <w:outlineLvl w:val="2"/>
    </w:pPr>
    <w:rPr>
      <w:b/>
      <w:bCs/>
      <w:sz w:val="32"/>
      <w:szCs w:val="32"/>
    </w:rPr>
  </w:style>
  <w:style w:type="paragraph" w:customStyle="1" w:styleId="a4">
    <w:name w:val="石墨文档标题"/>
    <w:next w:val="a"/>
    <w:uiPriority w:val="9"/>
    <w:unhideWhenUsed/>
    <w:qFormat/>
    <w:pPr>
      <w:spacing w:before="260" w:after="260"/>
      <w:outlineLvl w:val="3"/>
    </w:pPr>
    <w:rPr>
      <w:b/>
      <w:bCs/>
      <w:sz w:val="56"/>
      <w:szCs w:val="56"/>
    </w:rPr>
  </w:style>
  <w:style w:type="paragraph" w:customStyle="1" w:styleId="a5">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1205529767@qq.com</cp:lastModifiedBy>
  <cp:revision>5</cp:revision>
  <dcterms:created xsi:type="dcterms:W3CDTF">2020-03-31T07:58:00Z</dcterms:created>
  <dcterms:modified xsi:type="dcterms:W3CDTF">2020-03-31T07:59:00Z</dcterms:modified>
</cp:coreProperties>
</file>