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历史演义小说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历史演义是用通俗的语言，将王朝兴废等为基干的历史题材. 组织敷演成完整的故事，并表明一定的政治思想观念和美学理想的小说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《三国演义》 是我国历史演义小说的开山之作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英雄传奇小说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是中国章回体小说中的一个分类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主要以描绘英雄人物的战斗事迹为特征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绝大多数有一定的历史背景，但并不似历史演义那样拘泥于讲述历史过程，而是将重点 放在人物的塑造上</w:t>
      </w:r>
      <w:r>
        <w:rPr>
          <w:rFonts w:hint="eastAsia"/>
          <w:lang w:val="en-US" w:eastAsia="zh-CN"/>
        </w:rPr>
        <w:t>如水浒传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三国演义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历史演义小说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长篇章回小说的开山之作</w:t>
      </w:r>
      <w:r>
        <w:rPr>
          <w:rFonts w:hint="eastAsia"/>
          <w:lang w:val="en-US" w:eastAsia="zh-CN"/>
        </w:rPr>
        <w:t>; 古代成就最高的长篇历史小说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罗贯中，元末明初人。是中国历史上最早献身于通俗小说创作的作家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正史、讲史 和戏剧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全相三国志平话——三国志通俗演义——李卓吾先生批评三国志——毛本三图演义《第一才子书》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三国演义的思想内容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表现明君贤相的社会理想，强调人才的作用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以蜀汉为正统的看法，表现出尊刘贬曹的倾向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以义作为衡量和描写人物的重要标准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全面地展示出汉晋之间政治、军事斗争的广阔性和复杂性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三国演义的艺术成就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据史演义，七分事实，三分虚构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错综复杂的艺术结构，表现出高度成熟的叙事技巧。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长于战争描写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善于在情节的展开中表现人物的性格特征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语言文不甚深，言不甚俗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三国演义的人物塑造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小说善于运用层层皴染的手法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还善于运用传奇色彩极浓的故事和生动的细节塑造人物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善于运用对比烘托手法塑造人物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缺点：如人物性格突出但缺少发展变化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七．三国演义的影响：开创了一种新型的小说体裁，影响深远。直接影响到后来大量历史小说的写作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八．水浒传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英雄传奇小说，作者施耐庵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是一部世代累积型的长篇章回小说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繁本《水浒传》最早的版本是高儒《百川书志》著录的《忠义水浒传》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《新刊大宋宣和遗事》——一批水浒戏——康进之的《李逵负荆》——《水浒传》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水浒传的内容</w:t>
      </w:r>
    </w:p>
    <w:p>
      <w:pPr>
        <w:widowControl w:val="0"/>
        <w:numPr>
          <w:ilvl w:val="0"/>
          <w:numId w:val="1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1-70回：梁山好好被逼上梁上的经过，可视为梁山好汉个人英雄传奇故事</w:t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72-82回：梁山义军同官府作战，后来又合伙被招安，集体传奇故事</w:t>
      </w:r>
    </w:p>
    <w:p>
      <w:pPr>
        <w:widowControl w:val="0"/>
        <w:numPr>
          <w:ilvl w:val="0"/>
          <w:numId w:val="10"/>
        </w:numPr>
        <w:tabs>
          <w:tab w:val="left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83-结束：梁山义军奉命征辽和方腊，直至最后失败的经过，最终的悲剧结局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水浒传的思想倾象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揭露社会黑暗，突出官逼民反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突出梁山好汉替天行道，强调其忠义性质</w:t>
      </w:r>
    </w:p>
    <w:p>
      <w:pPr>
        <w:widowControl w:val="0"/>
        <w:numPr>
          <w:ilvl w:val="0"/>
          <w:numId w:val="11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表达了封建道德，忠义难两全的矛盾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水浒传的艺术成就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塑造了许多栩栩如生的草莽英雄形象，被视为英雄传奇小说的典范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描写人物置入情节，带有强烈的爱憎情感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结构单线发展，既有相对的独立性，又相互连贯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继承和发展了说话艺术，运用白话写景叙事，语言生动富有表现力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水浒传的影响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社会层面：明末和清代的农民起义都受其影禹，甚至用《水浒传》的口号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文学层面：对后来的文学创作产生深远的影响。金圣叹将其称之为第五才子书，带动了一大批相关题材的戏剧小说的诞生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西游记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明代神魔小说的代表，标志着中国神魔 小说的最高成就。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玄奘述、辩机录《大唐西域记》</w:t>
      </w:r>
      <w:r>
        <w:rPr>
          <w:rFonts w:hint="eastAsia"/>
          <w:lang w:val="en-US" w:eastAsia="zh-CN"/>
        </w:rPr>
        <w:t>——南宋刊刻《大唐三藏取经诗话》——元代西游定型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清代的吴玉搢首次提出《西游记》的作者是吴承恩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最早版本</w:t>
      </w:r>
      <w:r>
        <w:rPr>
          <w:rFonts w:hint="eastAsia"/>
          <w:lang w:val="en-US" w:eastAsia="zh-CN"/>
        </w:rPr>
        <w:t>：《古今书刻》中所著录的“鲁府”和 “登州府”刊刻本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现存最早的百回本，是明万历年间金陵世德堂刊行的《新刻出像官板大字西游记》。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西游记的内容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1-7：写孙悟空的来历和大闹天宫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8-12：玄奘法师的来历及取金的缘起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13-终：取经路上唐僧师战胜艰险并取得正果的经过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西游记的内涵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受明代心学影响，笔下孙悟空勇敢机智，富有正义感 和斗争精神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孙悟空象征心猿，大闹天空“放心”，被压五行山“定心”，取得正果“修心”，表明传统社会的等级制度不可动摇，个性自由不可能不受现实力量的制约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《西游记》虽是神魔小说，却与现实生活有着极为密切的关系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西游记的艺术特色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小说的奇幻色彩——最突出的艺术特色。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幽默诙谐的色彩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</w:t>
      </w:r>
      <w:r>
        <w:rPr>
          <w:rFonts w:hint="eastAsia"/>
          <w:lang w:val="en-US" w:eastAsia="zh-CN"/>
        </w:rPr>
        <w:t>构</w:t>
      </w:r>
      <w:r>
        <w:rPr>
          <w:rFonts w:hint="default"/>
          <w:lang w:val="en-US" w:eastAsia="zh-CN"/>
        </w:rPr>
        <w:t>单线发展</w:t>
      </w:r>
      <w:r>
        <w:rPr>
          <w:rFonts w:hint="eastAsia"/>
          <w:lang w:val="en-US" w:eastAsia="zh-CN"/>
        </w:rPr>
        <w:t>，具有相对独立的性质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文学语言很有特色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西游记的影响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续书和仿作游记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佛、道及民间流传的各类神佛立传的小说</w:t>
      </w:r>
      <w:r>
        <w:rPr>
          <w:rFonts w:hint="eastAsia"/>
          <w:lang w:val="en-US" w:eastAsia="zh-CN"/>
        </w:rPr>
        <w:t>《吕祖全传》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借历史事件写神魔战斗的小说。</w:t>
      </w:r>
      <w:r>
        <w:rPr>
          <w:rFonts w:hint="eastAsia"/>
          <w:lang w:val="en-US" w:eastAsia="zh-CN"/>
        </w:rPr>
        <w:t>《封神演义》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金瓶梅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明代世情小说代表、中国世情小说开山之作，中国第一部基本由文人独立创作的长篇小说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作者兰陵笑笑生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最早版本万历丁已（1617）年刊行的《新刻金瓶梅词话》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《新刻绣像批评金瓶梅》，称崇祯本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金瓶梅的内容与时代特征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书名为潘金莲、李瓶儿、庞春梅三人的名字中各取一字合成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以西门庆为核心的种种社会活动和这个家庭的兴衰历史，展示了十分广阔的社会生活画面。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暴露了当时社会黑暗、吏治腐朽，官商勾结、权钱交易等社会转型时期的社会现象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塑造了明代后期不同于以往的新兴商人形象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表现了对于人性的更为深刻的思考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二十.金瓶梅的艺术成就</w:t>
      </w:r>
    </w:p>
    <w:p>
      <w:pPr>
        <w:widowControl w:val="0"/>
        <w:numPr>
          <w:ilvl w:val="0"/>
          <w:numId w:val="2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所写题材和人物都有所不同</w:t>
      </w:r>
    </w:p>
    <w:p>
      <w:pPr>
        <w:widowControl w:val="0"/>
        <w:numPr>
          <w:ilvl w:val="0"/>
          <w:numId w:val="2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人物塑造体现出复杂性</w:t>
      </w:r>
    </w:p>
    <w:p>
      <w:pPr>
        <w:widowControl w:val="0"/>
        <w:numPr>
          <w:ilvl w:val="0"/>
          <w:numId w:val="2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白描的艺术手法，直书其事，不加评论</w:t>
      </w:r>
    </w:p>
    <w:p>
      <w:pPr>
        <w:widowControl w:val="0"/>
        <w:numPr>
          <w:ilvl w:val="0"/>
          <w:numId w:val="2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网状结构，人物交织描写</w:t>
      </w:r>
    </w:p>
    <w:p>
      <w:pPr>
        <w:widowControl w:val="0"/>
        <w:numPr>
          <w:ilvl w:val="0"/>
          <w:numId w:val="21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语言口语化通俗化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二一.金瓶梅的影响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金瓶梅续书的出现 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受《金瓶梅》写作范式影响的一大批世情小说的出现</w:t>
      </w:r>
      <w:r>
        <w:rPr>
          <w:rFonts w:hint="eastAsia"/>
          <w:lang w:val="en-US" w:eastAsia="zh-CN"/>
        </w:rPr>
        <w:t>，如红楼梦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金瓶梅很早流传到外国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二二.晚明时期冯梦龙的“三言”和凌蒙初的“二拍”代表了我国古代白话短篇小说的最高成就。 这些小说被称作“拟话本”。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二三。拟话本</w:t>
      </w:r>
    </w:p>
    <w:p>
      <w:pPr>
        <w:widowControl w:val="0"/>
        <w:numPr>
          <w:ilvl w:val="0"/>
          <w:numId w:val="2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刊刻目的是供人们案头阅读</w:t>
      </w:r>
    </w:p>
    <w:p>
      <w:pPr>
        <w:widowControl w:val="0"/>
        <w:numPr>
          <w:ilvl w:val="0"/>
          <w:numId w:val="2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其写作的特点是模仿宋元话本的体制结构和叙述口吻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三三。三言前的话本小说</w:t>
      </w:r>
    </w:p>
    <w:p>
      <w:pPr>
        <w:widowControl w:val="0"/>
        <w:numPr>
          <w:ilvl w:val="0"/>
          <w:numId w:val="2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最早单篇话本：红白蜘蛛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现知最早话本总集：六十家小说，又叫清平山堂话本</w:t>
      </w:r>
    </w:p>
    <w:p>
      <w:pPr>
        <w:widowControl w:val="0"/>
        <w:numPr>
          <w:ilvl w:val="0"/>
          <w:numId w:val="2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熊龙峰刊四种小说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三四。冯梦龙的思想文学主张</w:t>
      </w:r>
    </w:p>
    <w:p>
      <w:pPr>
        <w:widowControl w:val="0"/>
        <w:numPr>
          <w:ilvl w:val="0"/>
          <w:numId w:val="2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受李贽童心说影响，尚真重情，强调自我，以对抗封建伦理</w:t>
      </w:r>
    </w:p>
    <w:p>
      <w:pPr>
        <w:widowControl w:val="0"/>
        <w:numPr>
          <w:ilvl w:val="0"/>
          <w:numId w:val="2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重视通俗文学，认为通俗文学是性情之响</w:t>
      </w:r>
    </w:p>
    <w:p>
      <w:pPr>
        <w:widowControl w:val="0"/>
        <w:numPr>
          <w:ilvl w:val="0"/>
          <w:numId w:val="2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主张把有益于社会教化的内容表现为通俗易懂的文学形式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三五。冯梦龙：《挂枝儿》、《山歌》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三六。三言</w:t>
      </w:r>
    </w:p>
    <w:p>
      <w:pPr>
        <w:widowControl w:val="0"/>
        <w:numPr>
          <w:ilvl w:val="0"/>
          <w:numId w:val="2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冯梦龙编刻的小说集，能称古今小说</w:t>
      </w:r>
    </w:p>
    <w:p>
      <w:pPr>
        <w:widowControl w:val="0"/>
        <w:numPr>
          <w:ilvl w:val="0"/>
          <w:numId w:val="2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《喻世明言》、《警世通言》和《醒世恒言》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三七。“三言”的主要内容和思想倾向</w:t>
      </w:r>
    </w:p>
    <w:p>
      <w:pPr>
        <w:widowControl w:val="0"/>
        <w:numPr>
          <w:ilvl w:val="0"/>
          <w:numId w:val="2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商人题材的小说</w:t>
      </w:r>
    </w:p>
    <w:p>
      <w:pPr>
        <w:widowControl w:val="0"/>
        <w:numPr>
          <w:ilvl w:val="0"/>
          <w:numId w:val="2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婚恋题材，表现婚烟爱情自由的观念</w:t>
      </w:r>
    </w:p>
    <w:p>
      <w:pPr>
        <w:widowControl w:val="0"/>
        <w:numPr>
          <w:ilvl w:val="0"/>
          <w:numId w:val="2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从市民阶层立场出发，揭露社会不公正问题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三七。三言艺术特色</w:t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贴近日常生活，通过巧合构成富有传奇的故事</w:t>
      </w:r>
    </w:p>
    <w:p>
      <w:pPr>
        <w:widowControl w:val="0"/>
        <w:numPr>
          <w:ilvl w:val="0"/>
          <w:numId w:val="2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将人物置于外部世界，表现人物内心活动</w:t>
      </w:r>
    </w:p>
    <w:p>
      <w:pPr>
        <w:widowControl w:val="0"/>
        <w:numPr>
          <w:ilvl w:val="0"/>
          <w:numId w:val="2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语言雅俗共赏，生活气息浓郁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三八。二拍</w:t>
      </w:r>
    </w:p>
    <w:p>
      <w:pPr>
        <w:widowControl w:val="0"/>
        <w:numPr>
          <w:ilvl w:val="0"/>
          <w:numId w:val="2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空观主人凌濛初所作白话短篇小说专集</w:t>
      </w:r>
    </w:p>
    <w:p>
      <w:pPr>
        <w:widowControl w:val="0"/>
        <w:numPr>
          <w:ilvl w:val="0"/>
          <w:numId w:val="2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初刻拍案惊奇》和《二刻拍案惊奇》</w:t>
      </w:r>
    </w:p>
    <w:p>
      <w:pPr>
        <w:widowControl w:val="0"/>
        <w:numPr>
          <w:ilvl w:val="0"/>
          <w:numId w:val="2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最早由个人创作的白话短篇小说专集。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三九。“二拍”的主要内容及其社会思想意义</w:t>
      </w:r>
    </w:p>
    <w:p>
      <w:pPr>
        <w:widowControl w:val="0"/>
        <w:numPr>
          <w:ilvl w:val="0"/>
          <w:numId w:val="3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商人是最主要角色</w:t>
      </w:r>
    </w:p>
    <w:p>
      <w:pPr>
        <w:widowControl w:val="0"/>
        <w:numPr>
          <w:ilvl w:val="0"/>
          <w:numId w:val="3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婚恋题材，把男女平等的口号喊得更响亮</w:t>
      </w:r>
    </w:p>
    <w:p>
      <w:pPr>
        <w:widowControl w:val="0"/>
        <w:numPr>
          <w:ilvl w:val="0"/>
          <w:numId w:val="3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反映人情世态比三言更强烈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四十。二拍的艺术成就弱于感言</w:t>
      </w:r>
    </w:p>
    <w:p>
      <w:pPr>
        <w:widowControl w:val="0"/>
        <w:numPr>
          <w:ilvl w:val="0"/>
          <w:numId w:val="3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行文相对粗率</w:t>
      </w:r>
    </w:p>
    <w:p>
      <w:pPr>
        <w:widowControl w:val="0"/>
        <w:numPr>
          <w:ilvl w:val="0"/>
          <w:numId w:val="3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过多的性行为描写</w:t>
      </w:r>
    </w:p>
    <w:p>
      <w:pPr>
        <w:widowControl w:val="0"/>
        <w:numPr>
          <w:ilvl w:val="0"/>
          <w:numId w:val="3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宣扬陈腐的忠孝节义观念</w:t>
      </w:r>
    </w:p>
    <w:p>
      <w:pPr>
        <w:widowControl w:val="0"/>
        <w:numPr>
          <w:ilvl w:val="0"/>
          <w:numId w:val="3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美丑善恶模糊不清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四一。古今奇观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姑苏“抱瓮老人”选择“三言”</w:t>
      </w:r>
      <w:r>
        <w:rPr>
          <w:rFonts w:hint="eastAsia"/>
          <w:lang w:val="en-US" w:eastAsia="zh-CN"/>
        </w:rPr>
        <w:t>29篇</w:t>
      </w:r>
      <w:r>
        <w:rPr>
          <w:rFonts w:hint="eastAsia" w:eastAsiaTheme="minorEastAsia"/>
          <w:lang w:val="en-US" w:eastAsia="zh-CN"/>
        </w:rPr>
        <w:t>、“二拍”</w:t>
      </w:r>
      <w:r>
        <w:rPr>
          <w:rFonts w:hint="eastAsia"/>
          <w:lang w:val="en-US" w:eastAsia="zh-CN"/>
        </w:rPr>
        <w:t>11篇汇刻为《今古奇观》，成为后来300年间流行最广的拟话本小说选集。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四二。明末清初的其他白话短篇小说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天然痴叟的《石点头》，古吴金木散人的《鼓掌绝尘》，周清源的《西湖二集》， 陆人龙的《型世言》，西湖渔引主人的《欢喜冤家》，华阳散人的《鸳鸯针》， 东鲁古狂生的《醉醒石》等。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四三。明初杂剧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朱权：《太和正音谱》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朱有敦：留存作品最多的作家 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贾仲明有杂剧《萧淑兰》、《升仙梦》 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杨讷的杂剧《西游记》 </w:t>
      </w:r>
    </w:p>
    <w:p>
      <w:pPr>
        <w:widowControl w:val="0"/>
        <w:numPr>
          <w:ilvl w:val="0"/>
          <w:numId w:val="3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刘东生的杂剧《娇红记》根据元人宋梅洞的同名小说改编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四四。明代中后期杂剧</w:t>
      </w:r>
    </w:p>
    <w:p>
      <w:pPr>
        <w:widowControl w:val="0"/>
        <w:numPr>
          <w:ilvl w:val="0"/>
          <w:numId w:val="3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王九思《杜甫游春》又名《曲江春》</w:t>
      </w:r>
    </w:p>
    <w:p>
      <w:pPr>
        <w:widowControl w:val="0"/>
        <w:numPr>
          <w:ilvl w:val="0"/>
          <w:numId w:val="3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康海《中山狼》讽刺性杂剧</w:t>
      </w:r>
    </w:p>
    <w:p>
      <w:pPr>
        <w:widowControl w:val="0"/>
        <w:numPr>
          <w:ilvl w:val="0"/>
          <w:numId w:val="3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徐复祚《一文钱》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四五。徐渭和《四声猿》</w:t>
      </w:r>
    </w:p>
    <w:p>
      <w:pPr>
        <w:widowControl w:val="0"/>
        <w:numPr>
          <w:ilvl w:val="0"/>
          <w:numId w:val="3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《狂鼓史》阴骂曹，最醚出，《玉禅师》官佛相斗，《雌木兰》，《女状元》。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取义于郦道元《水经注》“猿鸣三声泪沾裳”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王骥德《曲律》称为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天地间一种奇绝文字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艺术特点：寓庄于谐的手法</w:t>
      </w:r>
    </w:p>
    <w:p>
      <w:pPr>
        <w:widowControl w:val="0"/>
        <w:numPr>
          <w:ilvl w:val="0"/>
          <w:numId w:val="3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徐渭的戏曲史论著作是《南词叙录》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四六。传奇的概述</w:t>
      </w:r>
    </w:p>
    <w:p>
      <w:pPr>
        <w:widowControl w:val="0"/>
        <w:numPr>
          <w:ilvl w:val="0"/>
          <w:numId w:val="3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本指唐代传奇小说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元末明初也有称元杂剧为传奇者，传奇成为不包括杂剧在内的明清中长篇戏剧的概称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明代传奇从宋元南戏发展而来</w:t>
      </w:r>
    </w:p>
    <w:p>
      <w:pPr>
        <w:widowControl w:val="0"/>
        <w:numPr>
          <w:ilvl w:val="0"/>
          <w:numId w:val="3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昆山、弋 阳、海盐、余姚“四大声腔”</w:t>
      </w:r>
      <w:r>
        <w:rPr>
          <w:rFonts w:hint="eastAsia"/>
          <w:lang w:val="en-US" w:eastAsia="zh-CN"/>
        </w:rPr>
        <w:t>，传奇取代杂剧成为主流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四七。明中期三大传奇</w:t>
      </w:r>
    </w:p>
    <w:p>
      <w:pPr>
        <w:widowControl w:val="0"/>
        <w:numPr>
          <w:ilvl w:val="0"/>
          <w:numId w:val="3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李开先《宝剑记》：取材水浒，改动林冲</w:t>
      </w:r>
    </w:p>
    <w:p>
      <w:pPr>
        <w:widowControl w:val="0"/>
        <w:numPr>
          <w:ilvl w:val="0"/>
          <w:numId w:val="3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梁辰鱼《浣纱记》：原名吴越春秋，西施、范蠡</w:t>
      </w:r>
    </w:p>
    <w:p>
      <w:pPr>
        <w:widowControl w:val="0"/>
        <w:numPr>
          <w:ilvl w:val="0"/>
          <w:numId w:val="3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王世贞《鸣凤记》：忠臣与奸臣（严氏父子）斗争</w:t>
      </w:r>
    </w:p>
    <w:p>
      <w:pPr>
        <w:widowControl w:val="0"/>
        <w:numPr>
          <w:ilvl w:val="0"/>
          <w:numId w:val="3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标志着明代传奇繁荣局面的出现，揭露政治黑暗，具有现实意义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四八。明后期传奇的繁荣局面</w:t>
      </w:r>
    </w:p>
    <w:p>
      <w:pPr>
        <w:widowControl w:val="0"/>
        <w:numPr>
          <w:ilvl w:val="0"/>
          <w:numId w:val="3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以汤显祖和沈璟为代表的临川派和吴江派最为突出</w:t>
      </w:r>
    </w:p>
    <w:p>
      <w:pPr>
        <w:widowControl w:val="0"/>
        <w:numPr>
          <w:ilvl w:val="0"/>
          <w:numId w:val="3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沉暻《南词全谱》，强调曲文本色，</w:t>
      </w:r>
    </w:p>
    <w:p>
      <w:pPr>
        <w:widowControl w:val="0"/>
        <w:numPr>
          <w:ilvl w:val="0"/>
          <w:numId w:val="3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汤沉之争：沈璟曾因汤显祖的《牡丹亭》不合昆腔音律而将其改为《同梦记》，引起了汤显祖的不满， 导致了著名的“汤沈之争”。</w:t>
      </w:r>
    </w:p>
    <w:p>
      <w:pPr>
        <w:widowControl w:val="0"/>
        <w:numPr>
          <w:ilvl w:val="0"/>
          <w:numId w:val="3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吴江派：沈璟在晚期影响很大，追随者众，统称“吴江派”，沈自晋、吕天成、王骥德</w:t>
      </w:r>
    </w:p>
    <w:p>
      <w:pPr>
        <w:widowControl w:val="0"/>
        <w:numPr>
          <w:ilvl w:val="0"/>
          <w:numId w:val="3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吕天成的《曲品》</w:t>
      </w:r>
    </w:p>
    <w:p>
      <w:pPr>
        <w:widowControl w:val="0"/>
        <w:numPr>
          <w:ilvl w:val="0"/>
          <w:numId w:val="3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王骥德，其《曲律》</w:t>
      </w:r>
    </w:p>
    <w:p>
      <w:pPr>
        <w:widowControl w:val="0"/>
        <w:numPr>
          <w:ilvl w:val="0"/>
          <w:numId w:val="3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不属于临川派和吴江派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高濂、周朝俊和孙钟领</w:t>
      </w:r>
    </w:p>
    <w:p>
      <w:pPr>
        <w:widowControl w:val="0"/>
        <w:numPr>
          <w:ilvl w:val="0"/>
          <w:numId w:val="3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臧懋循（zāng máo)《元曲选》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五十.临川四梦</w:t>
      </w:r>
    </w:p>
    <w:p>
      <w:pPr>
        <w:widowControl w:val="0"/>
        <w:numPr>
          <w:ilvl w:val="0"/>
          <w:numId w:val="3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又称玉茗堂四梦</w:t>
      </w:r>
    </w:p>
    <w:p>
      <w:pPr>
        <w:widowControl w:val="0"/>
        <w:numPr>
          <w:ilvl w:val="0"/>
          <w:numId w:val="3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《紫钗记》、《牡丹亭》、《南柯记》、《邯郸记》</w:t>
      </w:r>
    </w:p>
    <w:p>
      <w:pPr>
        <w:widowControl w:val="0"/>
        <w:numPr>
          <w:ilvl w:val="0"/>
          <w:numId w:val="38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牡丹亭成就最高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五一。《牡丹亭》的故事来源与汤显祖的改作</w:t>
      </w:r>
    </w:p>
    <w:p>
      <w:pPr>
        <w:widowControl w:val="0"/>
        <w:numPr>
          <w:ilvl w:val="0"/>
          <w:numId w:val="3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改变杜柳两家门当户对的关系</w:t>
      </w:r>
    </w:p>
    <w:p>
      <w:pPr>
        <w:widowControl w:val="0"/>
        <w:numPr>
          <w:ilvl w:val="0"/>
          <w:numId w:val="3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将杜宝和和教书先生加重笔墨，塑造成封建卫道士</w:t>
      </w:r>
    </w:p>
    <w:p>
      <w:pPr>
        <w:widowControl w:val="0"/>
        <w:numPr>
          <w:ilvl w:val="0"/>
          <w:numId w:val="3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淡化杜丽娘淑女色彩，突出敏感多情，追求自由和爱情的反叛性格</w:t>
      </w:r>
    </w:p>
    <w:p>
      <w:pPr>
        <w:widowControl w:val="0"/>
        <w:numPr>
          <w:ilvl w:val="0"/>
          <w:numId w:val="3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着意描写两人结合的曲折历程，彰显男女主人公对爱情的执着精神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五二。牡丹亭塑造的人物</w:t>
      </w:r>
    </w:p>
    <w:p>
      <w:pPr>
        <w:widowControl w:val="0"/>
        <w:numPr>
          <w:ilvl w:val="0"/>
          <w:numId w:val="4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杜丽娘：追求自由与爱情的女性形象</w:t>
      </w:r>
    </w:p>
    <w:p>
      <w:pPr>
        <w:widowControl w:val="0"/>
        <w:numPr>
          <w:ilvl w:val="0"/>
          <w:numId w:val="4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细腻地描绘了她叛逆性格</w:t>
      </w:r>
      <w:r>
        <w:rPr>
          <w:rFonts w:hint="eastAsia"/>
          <w:lang w:val="en-US" w:eastAsia="zh-CN"/>
        </w:rPr>
        <w:t>形成与发展</w:t>
      </w:r>
    </w:p>
    <w:p>
      <w:pPr>
        <w:widowControl w:val="0"/>
        <w:numPr>
          <w:ilvl w:val="0"/>
          <w:numId w:val="4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为情而死，是杜丽娘性格的一次升华</w:t>
      </w:r>
    </w:p>
    <w:p>
      <w:pPr>
        <w:widowControl w:val="0"/>
        <w:numPr>
          <w:ilvl w:val="0"/>
          <w:numId w:val="4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为情而生是她性格的又一次升华</w:t>
      </w:r>
    </w:p>
    <w:p>
      <w:pPr>
        <w:widowControl w:val="0"/>
        <w:numPr>
          <w:ilvl w:val="0"/>
          <w:numId w:val="4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朝堂之上公然对抗父亲的严命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向皇帝诉说自己的心曲，是她的性格的再一次升华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五三。《牡丹亭》的思想内涵和艺术成就</w:t>
      </w:r>
    </w:p>
    <w:p>
      <w:pPr>
        <w:widowControl w:val="0"/>
        <w:numPr>
          <w:ilvl w:val="0"/>
          <w:numId w:val="4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艺术上：最大特色是浓郁的浪漫气息和抒情色彩，情节是离奇，唱词是内心读白</w:t>
      </w:r>
    </w:p>
    <w:p>
      <w:pPr>
        <w:widowControl w:val="0"/>
        <w:numPr>
          <w:ilvl w:val="0"/>
          <w:numId w:val="4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思想上： 者张扬至情，肯定情与欲的完美结合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A689A"/>
    <w:multiLevelType w:val="singleLevel"/>
    <w:tmpl w:val="86AA68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6A3CFD"/>
    <w:multiLevelType w:val="singleLevel"/>
    <w:tmpl w:val="886A3CF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1674721"/>
    <w:multiLevelType w:val="singleLevel"/>
    <w:tmpl w:val="916747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1D661BA"/>
    <w:multiLevelType w:val="singleLevel"/>
    <w:tmpl w:val="91D661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216294E"/>
    <w:multiLevelType w:val="singleLevel"/>
    <w:tmpl w:val="9216294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92D65DA3"/>
    <w:multiLevelType w:val="singleLevel"/>
    <w:tmpl w:val="92D65D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9C3666BE"/>
    <w:multiLevelType w:val="singleLevel"/>
    <w:tmpl w:val="9C3666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9F500AF7"/>
    <w:multiLevelType w:val="singleLevel"/>
    <w:tmpl w:val="9F500AF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A423204E"/>
    <w:multiLevelType w:val="singleLevel"/>
    <w:tmpl w:val="A423204E"/>
    <w:lvl w:ilvl="0" w:tentative="0">
      <w:start w:val="1"/>
      <w:numFmt w:val="decimal"/>
      <w:lvlText w:val="%1."/>
      <w:lvlJc w:val="left"/>
    </w:lvl>
  </w:abstractNum>
  <w:abstractNum w:abstractNumId="9">
    <w:nsid w:val="A4F02E17"/>
    <w:multiLevelType w:val="singleLevel"/>
    <w:tmpl w:val="A4F02E1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A5DF2FCB"/>
    <w:multiLevelType w:val="singleLevel"/>
    <w:tmpl w:val="A5DF2F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ABBF77E4"/>
    <w:multiLevelType w:val="singleLevel"/>
    <w:tmpl w:val="ABBF77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B61E5EE4"/>
    <w:multiLevelType w:val="singleLevel"/>
    <w:tmpl w:val="B61E5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94B684F"/>
    <w:multiLevelType w:val="singleLevel"/>
    <w:tmpl w:val="B94B68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460C88F"/>
    <w:multiLevelType w:val="singleLevel"/>
    <w:tmpl w:val="C460C8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739C85D"/>
    <w:multiLevelType w:val="singleLevel"/>
    <w:tmpl w:val="C739C8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CC8113E9"/>
    <w:multiLevelType w:val="singleLevel"/>
    <w:tmpl w:val="CC8113E9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CF17C9C1"/>
    <w:multiLevelType w:val="singleLevel"/>
    <w:tmpl w:val="CF17C9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A0DE71B"/>
    <w:multiLevelType w:val="singleLevel"/>
    <w:tmpl w:val="DA0DE7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E5E766F9"/>
    <w:multiLevelType w:val="singleLevel"/>
    <w:tmpl w:val="E5E766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E9D1C9ED"/>
    <w:multiLevelType w:val="singleLevel"/>
    <w:tmpl w:val="E9D1C9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158DA2AD"/>
    <w:multiLevelType w:val="singleLevel"/>
    <w:tmpl w:val="158DA2AD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17F56D9F"/>
    <w:multiLevelType w:val="singleLevel"/>
    <w:tmpl w:val="17F56D9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1926DEC5"/>
    <w:multiLevelType w:val="singleLevel"/>
    <w:tmpl w:val="1926DEC5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1D8218FC"/>
    <w:multiLevelType w:val="singleLevel"/>
    <w:tmpl w:val="1D8218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1DBC8F30"/>
    <w:multiLevelType w:val="singleLevel"/>
    <w:tmpl w:val="1DBC8F30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21CB6245"/>
    <w:multiLevelType w:val="singleLevel"/>
    <w:tmpl w:val="21CB62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2BED66E7"/>
    <w:multiLevelType w:val="singleLevel"/>
    <w:tmpl w:val="2BED66E7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357C35E6"/>
    <w:multiLevelType w:val="singleLevel"/>
    <w:tmpl w:val="357C35E6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381BBDC1"/>
    <w:multiLevelType w:val="singleLevel"/>
    <w:tmpl w:val="381BBDC1"/>
    <w:lvl w:ilvl="0" w:tentative="0">
      <w:start w:val="9"/>
      <w:numFmt w:val="chineseCounting"/>
      <w:suff w:val="nothing"/>
      <w:lvlText w:val="%1．"/>
      <w:lvlJc w:val="left"/>
      <w:rPr>
        <w:rFonts w:hint="eastAsia"/>
      </w:rPr>
    </w:lvl>
  </w:abstractNum>
  <w:abstractNum w:abstractNumId="30">
    <w:nsid w:val="3B9A6E6B"/>
    <w:multiLevelType w:val="singleLevel"/>
    <w:tmpl w:val="3B9A6E6B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442ED6FD"/>
    <w:multiLevelType w:val="singleLevel"/>
    <w:tmpl w:val="442ED6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4862B0CF"/>
    <w:multiLevelType w:val="singleLevel"/>
    <w:tmpl w:val="4862B0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4AFF13BE"/>
    <w:multiLevelType w:val="singleLevel"/>
    <w:tmpl w:val="4AFF1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4E64F567"/>
    <w:multiLevelType w:val="singleLevel"/>
    <w:tmpl w:val="4E64F56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5">
    <w:nsid w:val="50C34B00"/>
    <w:multiLevelType w:val="singleLevel"/>
    <w:tmpl w:val="50C34B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83276E9"/>
    <w:multiLevelType w:val="singleLevel"/>
    <w:tmpl w:val="583276E9"/>
    <w:lvl w:ilvl="0" w:tentative="0">
      <w:start w:val="1"/>
      <w:numFmt w:val="decimal"/>
      <w:suff w:val="space"/>
      <w:lvlText w:val="%1."/>
      <w:lvlJc w:val="left"/>
    </w:lvl>
  </w:abstractNum>
  <w:abstractNum w:abstractNumId="37">
    <w:nsid w:val="660AECAC"/>
    <w:multiLevelType w:val="singleLevel"/>
    <w:tmpl w:val="660AEC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6DEDC272"/>
    <w:multiLevelType w:val="singleLevel"/>
    <w:tmpl w:val="6DEDC2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7499390E"/>
    <w:multiLevelType w:val="singleLevel"/>
    <w:tmpl w:val="749939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7FB87AD5"/>
    <w:multiLevelType w:val="singleLevel"/>
    <w:tmpl w:val="7FB87AD5"/>
    <w:lvl w:ilvl="0" w:tentative="0">
      <w:start w:val="1"/>
      <w:numFmt w:val="decimal"/>
      <w:suff w:val="space"/>
      <w:lvlText w:val="%1."/>
      <w:lvlJc w:val="left"/>
    </w:lvl>
  </w:abstractNum>
  <w:num w:numId="1">
    <w:abstractNumId w:val="34"/>
  </w:num>
  <w:num w:numId="2">
    <w:abstractNumId w:val="25"/>
  </w:num>
  <w:num w:numId="3">
    <w:abstractNumId w:val="1"/>
  </w:num>
  <w:num w:numId="4">
    <w:abstractNumId w:val="38"/>
  </w:num>
  <w:num w:numId="5">
    <w:abstractNumId w:val="12"/>
  </w:num>
  <w:num w:numId="6">
    <w:abstractNumId w:val="0"/>
  </w:num>
  <w:num w:numId="7">
    <w:abstractNumId w:val="39"/>
  </w:num>
  <w:num w:numId="8">
    <w:abstractNumId w:val="26"/>
  </w:num>
  <w:num w:numId="9">
    <w:abstractNumId w:val="29"/>
  </w:num>
  <w:num w:numId="10">
    <w:abstractNumId w:val="8"/>
  </w:num>
  <w:num w:numId="11">
    <w:abstractNumId w:val="30"/>
  </w:num>
  <w:num w:numId="12">
    <w:abstractNumId w:val="5"/>
  </w:num>
  <w:num w:numId="13">
    <w:abstractNumId w:val="2"/>
  </w:num>
  <w:num w:numId="14">
    <w:abstractNumId w:val="17"/>
  </w:num>
  <w:num w:numId="15">
    <w:abstractNumId w:val="9"/>
  </w:num>
  <w:num w:numId="16">
    <w:abstractNumId w:val="22"/>
  </w:num>
  <w:num w:numId="17">
    <w:abstractNumId w:val="16"/>
  </w:num>
  <w:num w:numId="18">
    <w:abstractNumId w:val="35"/>
  </w:num>
  <w:num w:numId="19">
    <w:abstractNumId w:val="31"/>
  </w:num>
  <w:num w:numId="20">
    <w:abstractNumId w:val="36"/>
  </w:num>
  <w:num w:numId="21">
    <w:abstractNumId w:val="40"/>
  </w:num>
  <w:num w:numId="22">
    <w:abstractNumId w:val="23"/>
  </w:num>
  <w:num w:numId="23">
    <w:abstractNumId w:val="37"/>
  </w:num>
  <w:num w:numId="24">
    <w:abstractNumId w:val="24"/>
  </w:num>
  <w:num w:numId="25">
    <w:abstractNumId w:val="28"/>
  </w:num>
  <w:num w:numId="26">
    <w:abstractNumId w:val="18"/>
  </w:num>
  <w:num w:numId="27">
    <w:abstractNumId w:val="21"/>
  </w:num>
  <w:num w:numId="28">
    <w:abstractNumId w:val="15"/>
  </w:num>
  <w:num w:numId="29">
    <w:abstractNumId w:val="19"/>
  </w:num>
  <w:num w:numId="30">
    <w:abstractNumId w:val="33"/>
  </w:num>
  <w:num w:numId="31">
    <w:abstractNumId w:val="6"/>
  </w:num>
  <w:num w:numId="32">
    <w:abstractNumId w:val="10"/>
  </w:num>
  <w:num w:numId="33">
    <w:abstractNumId w:val="11"/>
  </w:num>
  <w:num w:numId="34">
    <w:abstractNumId w:val="32"/>
  </w:num>
  <w:num w:numId="35">
    <w:abstractNumId w:val="3"/>
  </w:num>
  <w:num w:numId="36">
    <w:abstractNumId w:val="13"/>
  </w:num>
  <w:num w:numId="37">
    <w:abstractNumId w:val="14"/>
  </w:num>
  <w:num w:numId="38">
    <w:abstractNumId w:val="20"/>
  </w:num>
  <w:num w:numId="39">
    <w:abstractNumId w:val="4"/>
  </w:num>
  <w:num w:numId="40">
    <w:abstractNumId w:val="27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A19FD"/>
    <w:rsid w:val="36EC1816"/>
    <w:rsid w:val="5EAA7818"/>
    <w:rsid w:val="6A2F2286"/>
    <w:rsid w:val="7E2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2882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asdasd</dc:creator>
  <cp:lastModifiedBy>月半子</cp:lastModifiedBy>
  <dcterms:modified xsi:type="dcterms:W3CDTF">2019-09-27T11:10:57Z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