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审美活动的存在方式</w:t>
      </w:r>
    </w:p>
    <w:p>
      <w:pPr>
        <w:numPr>
          <w:ilvl w:val="0"/>
          <w:numId w:val="2"/>
        </w:numPr>
        <w:rPr>
          <w:rFonts w:hint="eastAsia"/>
          <w:b/>
          <w:bCs/>
          <w:color w:val="auto"/>
          <w:sz w:val="28"/>
          <w:szCs w:val="28"/>
          <w:lang w:val="en-US" w:eastAsia="zh-CN"/>
        </w:rPr>
      </w:pPr>
      <w:r>
        <w:rPr>
          <w:rFonts w:hint="eastAsia"/>
          <w:b/>
          <w:bCs/>
          <w:color w:val="auto"/>
          <w:sz w:val="28"/>
          <w:szCs w:val="28"/>
          <w:lang w:val="en-US" w:eastAsia="zh-CN"/>
        </w:rPr>
        <w:t>审美活动的动力机制</w:t>
      </w: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审美需要：人内在具有的，渴望在对象化过程中实现和肯定自已，并按照他的人生理想去自由而完整展现自己的精神追求。</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特征：1.生命需要;2.高级的精神追求</w:t>
      </w:r>
    </w:p>
    <w:p>
      <w:pPr>
        <w:numPr>
          <w:ilvl w:val="0"/>
          <w:numId w:val="0"/>
        </w:numPr>
        <w:rPr>
          <w:rFonts w:hint="eastAsia"/>
          <w:b w:val="0"/>
          <w:bCs w:val="0"/>
          <w:color w:val="auto"/>
          <w:sz w:val="21"/>
          <w:szCs w:val="21"/>
          <w:lang w:val="en-US" w:eastAsia="zh-CN"/>
        </w:rPr>
      </w:pP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审美理想：主体心中关于完善的美的观念。在心理结构中处于最高位置</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特征：1.形象性；2.稳定性；</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审美理想的作用：1.决定主体对于审美对象的选择以及判断；2.使审美活动成为主体人生实践的重要组成部分</w:t>
      </w:r>
    </w:p>
    <w:p>
      <w:pPr>
        <w:numPr>
          <w:ilvl w:val="0"/>
          <w:numId w:val="0"/>
        </w:numPr>
        <w:rPr>
          <w:rFonts w:hint="eastAsia"/>
          <w:b w:val="0"/>
          <w:bCs w:val="0"/>
          <w:color w:val="auto"/>
          <w:sz w:val="21"/>
          <w:szCs w:val="21"/>
          <w:lang w:val="en-US" w:eastAsia="zh-CN"/>
        </w:rPr>
      </w:pPr>
    </w:p>
    <w:p>
      <w:pPr>
        <w:numPr>
          <w:ilvl w:val="0"/>
          <w:numId w:val="0"/>
        </w:numPr>
        <w:rPr>
          <w:rFonts w:hint="default"/>
          <w:b w:val="0"/>
          <w:bCs w:val="0"/>
          <w:color w:val="auto"/>
          <w:sz w:val="21"/>
          <w:szCs w:val="21"/>
          <w:lang w:val="en-US" w:eastAsia="zh-CN"/>
        </w:rPr>
      </w:pPr>
      <w:r>
        <w:rPr>
          <w:rFonts w:hint="eastAsia"/>
          <w:b w:val="0"/>
          <w:bCs w:val="0"/>
          <w:color w:val="auto"/>
          <w:sz w:val="21"/>
          <w:szCs w:val="21"/>
          <w:lang w:val="en-US" w:eastAsia="zh-CN"/>
        </w:rPr>
        <w:t>审美理</w:t>
      </w:r>
      <w:bookmarkStart w:id="0" w:name="_GoBack"/>
      <w:bookmarkEnd w:id="0"/>
      <w:r>
        <w:rPr>
          <w:rFonts w:hint="eastAsia"/>
          <w:b w:val="0"/>
          <w:bCs w:val="0"/>
          <w:color w:val="auto"/>
          <w:sz w:val="21"/>
          <w:szCs w:val="21"/>
          <w:lang w:val="en-US" w:eastAsia="zh-CN"/>
        </w:rPr>
        <w:t>想与人生理想的内在关联：反映着民族性、时代性、阶级性，它与社会理想联系在一起。</w:t>
      </w:r>
    </w:p>
    <w:p>
      <w:pPr>
        <w:numPr>
          <w:ilvl w:val="0"/>
          <w:numId w:val="0"/>
        </w:numPr>
        <w:rPr>
          <w:rFonts w:hint="eastAsia"/>
          <w:b w:val="0"/>
          <w:bCs w:val="0"/>
          <w:color w:val="auto"/>
          <w:sz w:val="21"/>
          <w:szCs w:val="21"/>
          <w:lang w:val="en-US" w:eastAsia="zh-CN"/>
        </w:rPr>
      </w:pPr>
    </w:p>
    <w:p>
      <w:pPr>
        <w:numPr>
          <w:ilvl w:val="0"/>
          <w:numId w:val="3"/>
        </w:numPr>
        <w:rPr>
          <w:rFonts w:hint="eastAsia"/>
          <w:b w:val="0"/>
          <w:bCs w:val="0"/>
          <w:color w:val="auto"/>
          <w:sz w:val="21"/>
          <w:szCs w:val="21"/>
          <w:lang w:val="en-US" w:eastAsia="zh-CN"/>
        </w:rPr>
      </w:pPr>
      <w:r>
        <w:rPr>
          <w:rFonts w:hint="eastAsia"/>
          <w:b w:val="0"/>
          <w:bCs w:val="0"/>
          <w:color w:val="auto"/>
          <w:sz w:val="21"/>
          <w:szCs w:val="21"/>
          <w:lang w:val="en-US" w:eastAsia="zh-CN"/>
        </w:rPr>
        <w:t>审美趣味：主体在审美活动中表现出来的主观爱好和倾向。</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r>
        <w:rPr>
          <w:rFonts w:hint="eastAsia"/>
          <w:b w:val="0"/>
          <w:bCs w:val="0"/>
          <w:color w:val="auto"/>
          <w:sz w:val="21"/>
          <w:szCs w:val="21"/>
          <w:lang w:val="en-US" w:eastAsia="zh-CN"/>
        </w:rPr>
        <w:tab/>
      </w:r>
      <w:r>
        <w:rPr>
          <w:rFonts w:hint="eastAsia"/>
          <w:b w:val="0"/>
          <w:bCs w:val="0"/>
          <w:color w:val="auto"/>
          <w:sz w:val="21"/>
          <w:szCs w:val="21"/>
          <w:lang w:val="en-US" w:eastAsia="zh-CN"/>
        </w:rPr>
        <w:t>内在表现：能力或签赏力</w:t>
      </w:r>
    </w:p>
    <w:p>
      <w:pPr>
        <w:numPr>
          <w:ilvl w:val="0"/>
          <w:numId w:val="0"/>
        </w:num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外在表现：兴趣和口味</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审美趣味的两重性：存在着个体性与社会性，特殊性与普遍性的矛盾</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审美趣味的特征：1.明显的个性差异；2.后天因素或社会条件影响审美趣味</w:t>
      </w:r>
    </w:p>
    <w:p>
      <w:pPr>
        <w:numPr>
          <w:ilvl w:val="0"/>
          <w:numId w:val="0"/>
        </w:numPr>
        <w:rPr>
          <w:rFonts w:hint="eastAsia"/>
          <w:b w:val="0"/>
          <w:bCs w:val="0"/>
          <w:color w:val="auto"/>
          <w:sz w:val="21"/>
          <w:szCs w:val="21"/>
          <w:lang w:val="en-US" w:eastAsia="zh-CN"/>
        </w:rPr>
      </w:pP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审美趣味的判断标准：1.是否反映了审美对象的客观特点；2.受主体审美理想的制约。</w:t>
      </w:r>
    </w:p>
    <w:p>
      <w:pPr>
        <w:numPr>
          <w:ilvl w:val="0"/>
          <w:numId w:val="0"/>
        </w:numPr>
        <w:rPr>
          <w:rFonts w:hint="eastAsia"/>
          <w:b w:val="0"/>
          <w:bCs w:val="0"/>
          <w:color w:val="auto"/>
          <w:sz w:val="21"/>
          <w:szCs w:val="21"/>
          <w:lang w:val="en-US" w:eastAsia="zh-CN"/>
        </w:rPr>
      </w:pPr>
    </w:p>
    <w:p>
      <w:pPr>
        <w:numPr>
          <w:ilvl w:val="0"/>
          <w:numId w:val="2"/>
        </w:numPr>
        <w:ind w:left="0" w:leftChars="0" w:firstLine="0" w:firstLineChars="0"/>
        <w:rPr>
          <w:rFonts w:hint="default"/>
          <w:b/>
          <w:bCs/>
          <w:color w:val="auto"/>
          <w:sz w:val="28"/>
          <w:szCs w:val="28"/>
          <w:lang w:val="en-US" w:eastAsia="zh-CN"/>
        </w:rPr>
      </w:pPr>
      <w:r>
        <w:rPr>
          <w:rFonts w:hint="eastAsia"/>
          <w:b/>
          <w:bCs/>
          <w:color w:val="auto"/>
          <w:sz w:val="28"/>
          <w:szCs w:val="28"/>
          <w:lang w:val="en-US" w:eastAsia="zh-CN"/>
        </w:rPr>
        <w:t>审美活动的基本性质</w:t>
      </w:r>
    </w:p>
    <w:p>
      <w:pPr>
        <w:numPr>
          <w:ilvl w:val="0"/>
          <w:numId w:val="4"/>
        </w:numPr>
        <w:ind w:leftChars="0"/>
        <w:rPr>
          <w:rFonts w:hint="eastAsia" w:asciiTheme="majorAscii"/>
          <w:b w:val="0"/>
          <w:bCs w:val="0"/>
          <w:color w:val="auto"/>
          <w:sz w:val="21"/>
          <w:szCs w:val="21"/>
          <w:lang w:val="en-US" w:eastAsia="zh-CN"/>
        </w:rPr>
      </w:pPr>
      <w:r>
        <w:rPr>
          <w:rFonts w:hint="eastAsia" w:asciiTheme="majorAscii"/>
          <w:b w:val="0"/>
          <w:bCs w:val="0"/>
          <w:color w:val="auto"/>
          <w:sz w:val="21"/>
          <w:szCs w:val="21"/>
          <w:lang w:val="en-US" w:eastAsia="zh-CN"/>
        </w:rPr>
        <w:t>主体与世界的本已性精神交流（鲜明的主体性）</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最具个性化的精神活动（充分个性化的特征）</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自律性与他律性的统一</w:t>
      </w:r>
    </w:p>
    <w:p>
      <w:pPr>
        <w:numPr>
          <w:ilvl w:val="0"/>
          <w:numId w:val="4"/>
        </w:numPr>
        <w:ind w:leftChars="0"/>
        <w:rPr>
          <w:rFonts w:hint="default" w:asciiTheme="majorAscii"/>
          <w:b w:val="0"/>
          <w:bCs w:val="0"/>
          <w:color w:val="auto"/>
          <w:sz w:val="21"/>
          <w:szCs w:val="21"/>
          <w:lang w:val="en-US" w:eastAsia="zh-CN"/>
        </w:rPr>
      </w:pPr>
      <w:r>
        <w:rPr>
          <w:rFonts w:hint="eastAsia" w:asciiTheme="majorAscii"/>
          <w:b w:val="0"/>
          <w:bCs w:val="0"/>
          <w:color w:val="auto"/>
          <w:sz w:val="21"/>
          <w:szCs w:val="21"/>
          <w:lang w:val="en-US" w:eastAsia="zh-CN"/>
        </w:rPr>
        <w:t>有限无功利性与最高功利性的统一</w:t>
      </w:r>
    </w:p>
    <w:p>
      <w:pPr>
        <w:numPr>
          <w:ilvl w:val="0"/>
          <w:numId w:val="0"/>
        </w:numPr>
        <w:rPr>
          <w:rFonts w:hint="eastAsia" w:asciiTheme="majorAscii"/>
          <w:b w:val="0"/>
          <w:bCs w:val="0"/>
          <w:color w:val="auto"/>
          <w:sz w:val="21"/>
          <w:szCs w:val="21"/>
          <w:lang w:val="en-US" w:eastAsia="zh-CN"/>
        </w:rPr>
      </w:pPr>
    </w:p>
    <w:p>
      <w:pPr>
        <w:numPr>
          <w:ilvl w:val="0"/>
          <w:numId w:val="0"/>
        </w:numPr>
        <w:ind w:leftChars="0"/>
        <w:rPr>
          <w:rFonts w:hint="default" w:asciiTheme="majorAscii"/>
          <w:b w:val="0"/>
          <w:bCs w:val="0"/>
          <w:color w:val="auto"/>
          <w:sz w:val="21"/>
          <w:szCs w:val="21"/>
          <w:lang w:val="en-US" w:eastAsia="zh-CN"/>
        </w:rPr>
      </w:pPr>
      <w:r>
        <w:rPr>
          <w:rFonts w:hint="eastAsia"/>
          <w:b/>
          <w:bCs/>
          <w:color w:val="auto"/>
          <w:sz w:val="28"/>
          <w:szCs w:val="28"/>
          <w:lang w:val="en-US" w:eastAsia="zh-CN"/>
        </w:rPr>
        <w:t>3.审美活动的价值内涵</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A. 审美活动是一种价值活动</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B. 审美价值与一般价值的共性：1，都以主体为根据；2都受社会实践活动深刻制约</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C. 审美活动与一般价值的特殊性：能满足人心灵需要的精神价值</w:t>
      </w:r>
    </w:p>
    <w:p>
      <w:pPr>
        <w:numPr>
          <w:ilvl w:val="0"/>
          <w:numId w:val="0"/>
        </w:numPr>
        <w:rPr>
          <w:rFonts w:hint="default"/>
          <w:b w:val="0"/>
          <w:bCs w:val="0"/>
          <w:color w:val="auto"/>
          <w:sz w:val="21"/>
          <w:szCs w:val="21"/>
          <w:lang w:val="en-US" w:eastAsia="zh-CN"/>
        </w:rPr>
      </w:pPr>
      <w:r>
        <w:rPr>
          <w:rFonts w:hint="eastAsia"/>
          <w:b w:val="0"/>
          <w:bCs w:val="0"/>
          <w:color w:val="auto"/>
          <w:sz w:val="21"/>
          <w:szCs w:val="21"/>
          <w:lang w:val="en-US" w:eastAsia="zh-CN"/>
        </w:rPr>
        <w:t xml:space="preserve">D. 审美活动是最具本已性的存在方式：1.超越性的存在方式；2.自由的存在方式；3应然的存在方式 </w:t>
      </w:r>
    </w:p>
    <w:p>
      <w:pPr>
        <w:numPr>
          <w:ilvl w:val="0"/>
          <w:numId w:val="0"/>
        </w:numPr>
        <w:rPr>
          <w:rFonts w:hint="eastAsia"/>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0"/>
        </w:numPr>
        <w:rPr>
          <w:rFonts w:hint="default"/>
          <w:b w:val="0"/>
          <w:bCs w:val="0"/>
          <w:color w:val="auto"/>
          <w:sz w:val="21"/>
          <w:szCs w:val="21"/>
          <w:lang w:val="en-US" w:eastAsia="zh-CN"/>
        </w:rPr>
      </w:pPr>
    </w:p>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审美活动的主体与客体</w:t>
      </w:r>
    </w:p>
    <w:p>
      <w:pPr>
        <w:widowControl w:val="0"/>
        <w:numPr>
          <w:ilvl w:val="0"/>
          <w:numId w:val="5"/>
        </w:numPr>
        <w:jc w:val="both"/>
        <w:rPr>
          <w:rFonts w:hint="eastAsia" w:eastAsiaTheme="minorEastAsia"/>
          <w:b/>
          <w:bCs/>
          <w:color w:val="auto"/>
          <w:sz w:val="28"/>
          <w:szCs w:val="28"/>
          <w:lang w:val="en-US" w:eastAsia="zh-CN"/>
        </w:rPr>
      </w:pPr>
      <w:r>
        <w:rPr>
          <w:rFonts w:hint="eastAsia"/>
          <w:b/>
          <w:bCs/>
          <w:color w:val="auto"/>
          <w:sz w:val="28"/>
          <w:szCs w:val="28"/>
          <w:lang w:val="en-US" w:eastAsia="zh-CN"/>
        </w:rPr>
        <w:t>审美主体与审美对象只存于审美活动中</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美是审美主体与审美客体在审美活动中相互作用生成的一种特殊价值</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只有在主客体关系中才能把握审美主体的性质</w:t>
      </w:r>
    </w:p>
    <w:p>
      <w:pPr>
        <w:widowControl w:val="0"/>
        <w:numPr>
          <w:ilvl w:val="0"/>
          <w:numId w:val="6"/>
        </w:numPr>
        <w:jc w:val="both"/>
        <w:rPr>
          <w:rFonts w:hint="eastAsia"/>
          <w:b w:val="0"/>
          <w:bCs w:val="0"/>
          <w:color w:val="auto"/>
          <w:sz w:val="21"/>
          <w:szCs w:val="21"/>
          <w:lang w:val="en-US" w:eastAsia="zh-CN"/>
        </w:rPr>
      </w:pPr>
      <w:r>
        <w:rPr>
          <w:rFonts w:hint="eastAsia"/>
          <w:b w:val="0"/>
          <w:bCs w:val="0"/>
          <w:color w:val="auto"/>
          <w:sz w:val="21"/>
          <w:szCs w:val="21"/>
          <w:lang w:val="en-US" w:eastAsia="zh-CN"/>
        </w:rPr>
        <w:t>对象化的活动构建起的审美主体与客体确定了审美关系的规律性</w:t>
      </w:r>
    </w:p>
    <w:p>
      <w:pPr>
        <w:widowControl w:val="0"/>
        <w:numPr>
          <w:ilvl w:val="0"/>
          <w:numId w:val="0"/>
        </w:numPr>
        <w:jc w:val="both"/>
        <w:rPr>
          <w:rFonts w:hint="eastAsia"/>
          <w:b w:val="0"/>
          <w:bCs w:val="0"/>
          <w:color w:val="auto"/>
          <w:sz w:val="21"/>
          <w:szCs w:val="21"/>
          <w:lang w:val="en-US" w:eastAsia="zh-CN"/>
        </w:rPr>
      </w:pPr>
    </w:p>
    <w:p>
      <w:pPr>
        <w:widowControl w:val="0"/>
        <w:numPr>
          <w:ilvl w:val="0"/>
          <w:numId w:val="5"/>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审美主体的存在状态</w:t>
      </w:r>
    </w:p>
    <w:p>
      <w:pPr>
        <w:widowControl w:val="0"/>
        <w:numPr>
          <w:ilvl w:val="0"/>
          <w:numId w:val="7"/>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惊异：从日常生活中跃出</w:t>
      </w:r>
    </w:p>
    <w:p>
      <w:pPr>
        <w:widowControl w:val="0"/>
        <w:numPr>
          <w:ilvl w:val="0"/>
          <w:numId w:val="7"/>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体验：沉浸在与对象的相片中</w:t>
      </w:r>
    </w:p>
    <w:p>
      <w:pPr>
        <w:widowControl w:val="0"/>
        <w:numPr>
          <w:ilvl w:val="0"/>
          <w:numId w:val="7"/>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澄明：走向本真的世界</w:t>
      </w:r>
    </w:p>
    <w:p>
      <w:pPr>
        <w:widowControl w:val="0"/>
        <w:numPr>
          <w:ilvl w:val="0"/>
          <w:numId w:val="0"/>
        </w:numPr>
        <w:jc w:val="both"/>
        <w:rPr>
          <w:rFonts w:hint="eastAsia"/>
          <w:b w:val="0"/>
          <w:bCs w:val="0"/>
          <w:color w:val="auto"/>
          <w:sz w:val="21"/>
          <w:szCs w:val="21"/>
          <w:lang w:val="en-US" w:eastAsia="zh-CN"/>
        </w:rPr>
      </w:pPr>
    </w:p>
    <w:p>
      <w:pPr>
        <w:widowControl w:val="0"/>
        <w:numPr>
          <w:ilvl w:val="0"/>
          <w:numId w:val="5"/>
        </w:numPr>
        <w:ind w:left="0" w:leftChars="0" w:firstLine="0" w:firstLine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审美对象的生成与显现</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审美对象自身的客观条件（色彩，形状，线条，音响）</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审美条件向审美对象的现实转化</w:t>
      </w:r>
    </w:p>
    <w:p>
      <w:pPr>
        <w:widowControl w:val="0"/>
        <w:numPr>
          <w:ilvl w:val="0"/>
          <w:numId w:val="8"/>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审美对象的非实体性与开放性</w:t>
      </w:r>
    </w:p>
    <w:p>
      <w:pPr>
        <w:widowControl w:val="0"/>
        <w:numPr>
          <w:ilvl w:val="0"/>
          <w:numId w:val="0"/>
        </w:numPr>
        <w:jc w:val="both"/>
        <w:rPr>
          <w:rFonts w:hint="eastAsia"/>
          <w:b w:val="0"/>
          <w:bCs w:val="0"/>
          <w:color w:val="auto"/>
          <w:sz w:val="21"/>
          <w:szCs w:val="21"/>
          <w:lang w:val="en-US" w:eastAsia="zh-CN"/>
        </w:rPr>
      </w:pPr>
    </w:p>
    <w:p>
      <w:pPr>
        <w:numPr>
          <w:ilvl w:val="0"/>
          <w:numId w:val="1"/>
        </w:numPr>
        <w:rPr>
          <w:rFonts w:hint="eastAsia"/>
          <w:b/>
          <w:bCs/>
          <w:color w:val="ED7D31" w:themeColor="accent2"/>
          <w:sz w:val="28"/>
          <w:szCs w:val="28"/>
          <w:lang w:val="en-US" w:eastAsia="zh-CN"/>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客美活动的发生</w:t>
      </w:r>
    </w:p>
    <w:p>
      <w:pPr>
        <w:numPr>
          <w:ilvl w:val="0"/>
          <w:numId w:val="9"/>
        </w:numPr>
        <w:rPr>
          <w:rFonts w:hint="eastAsia"/>
          <w:b/>
          <w:bCs/>
          <w:color w:val="auto"/>
          <w:sz w:val="28"/>
          <w:szCs w:val="28"/>
          <w:lang w:val="en-US" w:eastAsia="zh-CN"/>
        </w:rPr>
      </w:pPr>
      <w:r>
        <w:rPr>
          <w:rFonts w:hint="eastAsia"/>
          <w:b/>
          <w:bCs/>
          <w:color w:val="auto"/>
          <w:sz w:val="28"/>
          <w:szCs w:val="28"/>
          <w:lang w:val="en-US" w:eastAsia="zh-CN"/>
        </w:rPr>
        <w:t>审美活动四种理论</w:t>
      </w:r>
    </w:p>
    <w:p>
      <w:pPr>
        <w:numPr>
          <w:ilvl w:val="0"/>
          <w:numId w:val="10"/>
        </w:numPr>
        <w:rPr>
          <w:rFonts w:hint="eastAsia"/>
          <w:b w:val="0"/>
          <w:bCs w:val="0"/>
          <w:color w:val="auto"/>
          <w:sz w:val="21"/>
          <w:szCs w:val="21"/>
          <w:lang w:val="en-US" w:eastAsia="zh-CN"/>
        </w:rPr>
      </w:pPr>
      <w:r>
        <w:rPr>
          <w:rFonts w:hint="eastAsia"/>
          <w:b w:val="0"/>
          <w:bCs w:val="0"/>
          <w:color w:val="auto"/>
          <w:sz w:val="21"/>
          <w:szCs w:val="21"/>
          <w:lang w:val="en-US" w:eastAsia="zh-CN"/>
        </w:rPr>
        <w:t>游戏说（柏拉图、康德、席勒）：忽视了转化机制</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生物本能说（达尔文、博克、弗洛伊德、德谟克里特）</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巫术说（泰勒、弗雷泽）</w:t>
      </w:r>
    </w:p>
    <w:p>
      <w:pPr>
        <w:numPr>
          <w:ilvl w:val="0"/>
          <w:numId w:val="10"/>
        </w:numPr>
        <w:rPr>
          <w:rFonts w:hint="default" w:eastAsiaTheme="minorEastAsia"/>
          <w:b w:val="0"/>
          <w:bCs w:val="0"/>
          <w:color w:val="auto"/>
          <w:sz w:val="21"/>
          <w:szCs w:val="21"/>
          <w:lang w:val="en-US" w:eastAsia="zh-CN"/>
        </w:rPr>
      </w:pPr>
      <w:r>
        <w:rPr>
          <w:rFonts w:hint="eastAsia"/>
          <w:b w:val="0"/>
          <w:bCs w:val="0"/>
          <w:color w:val="auto"/>
          <w:sz w:val="21"/>
          <w:szCs w:val="21"/>
          <w:lang w:val="en-US" w:eastAsia="zh-CN"/>
        </w:rPr>
        <w:t>劳动说</w:t>
      </w:r>
    </w:p>
    <w:p>
      <w:pPr>
        <w:numPr>
          <w:ilvl w:val="0"/>
          <w:numId w:val="9"/>
        </w:numPr>
        <w:ind w:left="0" w:leftChars="0" w:firstLine="0" w:firstLineChars="0"/>
        <w:rPr>
          <w:rFonts w:hint="eastAsia"/>
          <w:b/>
          <w:bCs/>
          <w:color w:val="auto"/>
          <w:sz w:val="28"/>
          <w:szCs w:val="28"/>
          <w:lang w:val="en-US" w:eastAsia="zh-CN"/>
        </w:rPr>
      </w:pPr>
      <w:r>
        <w:rPr>
          <w:rFonts w:hint="eastAsia"/>
          <w:b/>
          <w:bCs/>
          <w:color w:val="auto"/>
          <w:sz w:val="28"/>
          <w:szCs w:val="28"/>
          <w:lang w:val="en-US" w:eastAsia="zh-CN"/>
        </w:rPr>
        <w:t>审美活动发生的标志</w:t>
      </w:r>
    </w:p>
    <w:p>
      <w:pPr>
        <w:numPr>
          <w:ilvl w:val="0"/>
          <w:numId w:val="11"/>
        </w:numPr>
        <w:ind w:leftChars="0"/>
        <w:rPr>
          <w:rFonts w:hint="eastAsia"/>
          <w:b w:val="0"/>
          <w:bCs w:val="0"/>
          <w:color w:val="auto"/>
          <w:sz w:val="21"/>
          <w:szCs w:val="21"/>
          <w:lang w:val="en-US" w:eastAsia="zh-CN"/>
        </w:rPr>
      </w:pPr>
      <w:r>
        <w:rPr>
          <w:rFonts w:hint="eastAsia"/>
          <w:b w:val="0"/>
          <w:bCs w:val="0"/>
          <w:color w:val="auto"/>
          <w:sz w:val="21"/>
          <w:szCs w:val="21"/>
          <w:lang w:val="en-US" w:eastAsia="zh-CN"/>
        </w:rPr>
        <w:t>审美活动发生的基本前提--以创造和使用工具为突出标志的生产劳动。</w:t>
      </w:r>
    </w:p>
    <w:p>
      <w:pPr>
        <w:numPr>
          <w:ilvl w:val="0"/>
          <w:numId w:val="11"/>
        </w:numPr>
        <w:ind w:leftChars="0"/>
        <w:rPr>
          <w:rFonts w:hint="default"/>
          <w:b w:val="0"/>
          <w:bCs w:val="0"/>
          <w:color w:val="auto"/>
          <w:sz w:val="21"/>
          <w:szCs w:val="21"/>
          <w:lang w:val="en-US" w:eastAsia="zh-CN"/>
        </w:rPr>
      </w:pPr>
      <w:r>
        <w:rPr>
          <w:rFonts w:hint="eastAsia"/>
          <w:b w:val="0"/>
          <w:bCs w:val="0"/>
          <w:color w:val="auto"/>
          <w:sz w:val="21"/>
          <w:szCs w:val="21"/>
          <w:lang w:val="en-US" w:eastAsia="zh-CN"/>
        </w:rPr>
        <w:t>最重要的中介因素--巫术礼仪活动</w:t>
      </w:r>
    </w:p>
    <w:p>
      <w:pPr>
        <w:numPr>
          <w:ilvl w:val="0"/>
          <w:numId w:val="11"/>
        </w:numPr>
        <w:ind w:leftChars="0"/>
        <w:rPr>
          <w:rFonts w:hint="default"/>
          <w:b w:val="0"/>
          <w:bCs w:val="0"/>
          <w:color w:val="auto"/>
          <w:sz w:val="21"/>
          <w:szCs w:val="21"/>
          <w:lang w:val="en-US" w:eastAsia="zh-CN"/>
        </w:rPr>
      </w:pPr>
      <w:r>
        <w:rPr>
          <w:rFonts w:hint="eastAsia"/>
          <w:b w:val="0"/>
          <w:bCs w:val="0"/>
          <w:color w:val="auto"/>
          <w:sz w:val="21"/>
          <w:szCs w:val="21"/>
          <w:lang w:val="en-US" w:eastAsia="zh-CN"/>
        </w:rPr>
        <w:t>审美活动发生的特殊标志--审美意识的出现</w:t>
      </w:r>
    </w:p>
    <w:p>
      <w:pPr>
        <w:widowControl w:val="0"/>
        <w:numPr>
          <w:ilvl w:val="0"/>
          <w:numId w:val="9"/>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原始审美活动的基本类型</w:t>
      </w:r>
    </w:p>
    <w:p>
      <w:pPr>
        <w:widowControl w:val="0"/>
        <w:numPr>
          <w:ilvl w:val="0"/>
          <w:numId w:val="12"/>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原始人类在物质生产领域中的审美创造（装饰化的器物造型和器物装饰）</w:t>
      </w:r>
    </w:p>
    <w:p>
      <w:pPr>
        <w:widowControl w:val="0"/>
        <w:numPr>
          <w:ilvl w:val="0"/>
          <w:numId w:val="12"/>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原始人类的自我修饰和美化（固体装饰和非固定装饰）</w:t>
      </w:r>
    </w:p>
    <w:p>
      <w:pPr>
        <w:widowControl w:val="0"/>
        <w:numPr>
          <w:ilvl w:val="0"/>
          <w:numId w:val="9"/>
        </w:numPr>
        <w:ind w:left="0" w:leftChars="0" w:firstLine="0" w:firstLineChars="0"/>
        <w:jc w:val="both"/>
        <w:rPr>
          <w:rFonts w:hint="eastAsia"/>
          <w:b/>
          <w:bCs/>
          <w:color w:val="auto"/>
          <w:sz w:val="28"/>
          <w:szCs w:val="28"/>
          <w:lang w:val="en-US" w:eastAsia="zh-CN"/>
        </w:rPr>
      </w:pPr>
      <w:r>
        <w:rPr>
          <w:rFonts w:hint="eastAsia"/>
          <w:b/>
          <w:bCs/>
          <w:color w:val="auto"/>
          <w:sz w:val="28"/>
          <w:szCs w:val="28"/>
          <w:lang w:val="en-US" w:eastAsia="zh-CN"/>
        </w:rPr>
        <w:t>原始艺术的主要样式与特征</w:t>
      </w:r>
    </w:p>
    <w:p>
      <w:pPr>
        <w:widowControl w:val="0"/>
        <w:numPr>
          <w:ilvl w:val="0"/>
          <w:numId w:val="13"/>
        </w:numPr>
        <w:ind w:leftChars="0"/>
        <w:jc w:val="both"/>
        <w:rPr>
          <w:rFonts w:hint="eastAsia"/>
          <w:b w:val="0"/>
          <w:bCs w:val="0"/>
          <w:color w:val="auto"/>
          <w:sz w:val="21"/>
          <w:szCs w:val="21"/>
          <w:lang w:val="en-US" w:eastAsia="zh-CN"/>
        </w:rPr>
      </w:pPr>
      <w:r>
        <w:rPr>
          <w:rFonts w:hint="eastAsia"/>
          <w:b w:val="0"/>
          <w:bCs w:val="0"/>
          <w:color w:val="auto"/>
          <w:sz w:val="21"/>
          <w:szCs w:val="21"/>
          <w:lang w:val="en-US" w:eastAsia="zh-CN"/>
        </w:rPr>
        <w:t>雕刻（旧石器时代晚期）</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绘画（内蒙古阴山岩画）</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音乐（）</w:t>
      </w:r>
    </w:p>
    <w:p>
      <w:pPr>
        <w:widowControl w:val="0"/>
        <w:numPr>
          <w:ilvl w:val="0"/>
          <w:numId w:val="13"/>
        </w:numPr>
        <w:ind w:leftChars="0"/>
        <w:jc w:val="both"/>
        <w:rPr>
          <w:rFonts w:hint="default"/>
          <w:b w:val="0"/>
          <w:bCs w:val="0"/>
          <w:color w:val="auto"/>
          <w:sz w:val="21"/>
          <w:szCs w:val="21"/>
          <w:lang w:val="en-US" w:eastAsia="zh-CN"/>
        </w:rPr>
      </w:pPr>
      <w:r>
        <w:rPr>
          <w:rFonts w:hint="eastAsia"/>
          <w:b w:val="0"/>
          <w:bCs w:val="0"/>
          <w:color w:val="auto"/>
          <w:sz w:val="21"/>
          <w:szCs w:val="21"/>
          <w:lang w:val="en-US" w:eastAsia="zh-CN"/>
        </w:rPr>
        <w:t>舞蹈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896EF"/>
    <w:multiLevelType w:val="singleLevel"/>
    <w:tmpl w:val="B25896EF"/>
    <w:lvl w:ilvl="0" w:tentative="0">
      <w:start w:val="1"/>
      <w:numFmt w:val="upperLetter"/>
      <w:lvlText w:val="%1."/>
      <w:lvlJc w:val="left"/>
      <w:pPr>
        <w:tabs>
          <w:tab w:val="left" w:pos="312"/>
        </w:tabs>
      </w:pPr>
    </w:lvl>
  </w:abstractNum>
  <w:abstractNum w:abstractNumId="1">
    <w:nsid w:val="B5C20695"/>
    <w:multiLevelType w:val="singleLevel"/>
    <w:tmpl w:val="B5C20695"/>
    <w:lvl w:ilvl="0" w:tentative="0">
      <w:start w:val="1"/>
      <w:numFmt w:val="decimal"/>
      <w:lvlText w:val="%1."/>
      <w:lvlJc w:val="left"/>
      <w:pPr>
        <w:tabs>
          <w:tab w:val="left" w:pos="312"/>
        </w:tabs>
      </w:pPr>
    </w:lvl>
  </w:abstractNum>
  <w:abstractNum w:abstractNumId="2">
    <w:nsid w:val="C0413914"/>
    <w:multiLevelType w:val="singleLevel"/>
    <w:tmpl w:val="C0413914"/>
    <w:lvl w:ilvl="0" w:tentative="0">
      <w:start w:val="1"/>
      <w:numFmt w:val="chineseCounting"/>
      <w:suff w:val="nothing"/>
      <w:lvlText w:val="%1．"/>
      <w:lvlJc w:val="left"/>
      <w:rPr>
        <w:rFonts w:hint="eastAsia"/>
      </w:rPr>
    </w:lvl>
  </w:abstractNum>
  <w:abstractNum w:abstractNumId="3">
    <w:nsid w:val="C90F403F"/>
    <w:multiLevelType w:val="singleLevel"/>
    <w:tmpl w:val="C90F403F"/>
    <w:lvl w:ilvl="0" w:tentative="0">
      <w:start w:val="1"/>
      <w:numFmt w:val="upperLetter"/>
      <w:lvlText w:val="%1."/>
      <w:lvlJc w:val="left"/>
      <w:pPr>
        <w:tabs>
          <w:tab w:val="left" w:pos="312"/>
        </w:tabs>
      </w:pPr>
    </w:lvl>
  </w:abstractNum>
  <w:abstractNum w:abstractNumId="4">
    <w:nsid w:val="D077B106"/>
    <w:multiLevelType w:val="singleLevel"/>
    <w:tmpl w:val="D077B106"/>
    <w:lvl w:ilvl="0" w:tentative="0">
      <w:start w:val="1"/>
      <w:numFmt w:val="upperLetter"/>
      <w:lvlText w:val="%1."/>
      <w:lvlJc w:val="left"/>
      <w:pPr>
        <w:tabs>
          <w:tab w:val="left" w:pos="312"/>
        </w:tabs>
      </w:pPr>
    </w:lvl>
  </w:abstractNum>
  <w:abstractNum w:abstractNumId="5">
    <w:nsid w:val="D13E7092"/>
    <w:multiLevelType w:val="singleLevel"/>
    <w:tmpl w:val="D13E7092"/>
    <w:lvl w:ilvl="0" w:tentative="0">
      <w:start w:val="1"/>
      <w:numFmt w:val="upperLetter"/>
      <w:lvlText w:val="%1."/>
      <w:lvlJc w:val="left"/>
      <w:pPr>
        <w:tabs>
          <w:tab w:val="left" w:pos="312"/>
        </w:tabs>
      </w:pPr>
    </w:lvl>
  </w:abstractNum>
  <w:abstractNum w:abstractNumId="6">
    <w:nsid w:val="F51C1304"/>
    <w:multiLevelType w:val="singleLevel"/>
    <w:tmpl w:val="F51C1304"/>
    <w:lvl w:ilvl="0" w:tentative="0">
      <w:start w:val="1"/>
      <w:numFmt w:val="decimal"/>
      <w:lvlText w:val="%1."/>
      <w:lvlJc w:val="left"/>
      <w:pPr>
        <w:tabs>
          <w:tab w:val="left" w:pos="312"/>
        </w:tabs>
      </w:pPr>
    </w:lvl>
  </w:abstractNum>
  <w:abstractNum w:abstractNumId="7">
    <w:nsid w:val="F7731F2C"/>
    <w:multiLevelType w:val="singleLevel"/>
    <w:tmpl w:val="F7731F2C"/>
    <w:lvl w:ilvl="0" w:tentative="0">
      <w:start w:val="1"/>
      <w:numFmt w:val="upperLetter"/>
      <w:lvlText w:val="%1."/>
      <w:lvlJc w:val="left"/>
      <w:pPr>
        <w:tabs>
          <w:tab w:val="left" w:pos="312"/>
        </w:tabs>
      </w:pPr>
    </w:lvl>
  </w:abstractNum>
  <w:abstractNum w:abstractNumId="8">
    <w:nsid w:val="F9D27A4B"/>
    <w:multiLevelType w:val="singleLevel"/>
    <w:tmpl w:val="F9D27A4B"/>
    <w:lvl w:ilvl="0" w:tentative="0">
      <w:start w:val="1"/>
      <w:numFmt w:val="upperLetter"/>
      <w:lvlText w:val="%1."/>
      <w:lvlJc w:val="left"/>
      <w:pPr>
        <w:tabs>
          <w:tab w:val="left" w:pos="312"/>
        </w:tabs>
      </w:pPr>
    </w:lvl>
  </w:abstractNum>
  <w:abstractNum w:abstractNumId="9">
    <w:nsid w:val="5ABE2428"/>
    <w:multiLevelType w:val="singleLevel"/>
    <w:tmpl w:val="5ABE2428"/>
    <w:lvl w:ilvl="0" w:tentative="0">
      <w:start w:val="1"/>
      <w:numFmt w:val="upperLetter"/>
      <w:lvlText w:val="%1."/>
      <w:lvlJc w:val="left"/>
      <w:pPr>
        <w:tabs>
          <w:tab w:val="left" w:pos="312"/>
        </w:tabs>
      </w:pPr>
    </w:lvl>
  </w:abstractNum>
  <w:abstractNum w:abstractNumId="10">
    <w:nsid w:val="6FDD3BAE"/>
    <w:multiLevelType w:val="singleLevel"/>
    <w:tmpl w:val="6FDD3BAE"/>
    <w:lvl w:ilvl="0" w:tentative="0">
      <w:start w:val="1"/>
      <w:numFmt w:val="decimal"/>
      <w:lvlText w:val="%1."/>
      <w:lvlJc w:val="left"/>
      <w:pPr>
        <w:tabs>
          <w:tab w:val="left" w:pos="312"/>
        </w:tabs>
      </w:pPr>
    </w:lvl>
  </w:abstractNum>
  <w:abstractNum w:abstractNumId="11">
    <w:nsid w:val="793C3C63"/>
    <w:multiLevelType w:val="singleLevel"/>
    <w:tmpl w:val="793C3C63"/>
    <w:lvl w:ilvl="0" w:tentative="0">
      <w:start w:val="1"/>
      <w:numFmt w:val="upperLetter"/>
      <w:lvlText w:val="%1."/>
      <w:lvlJc w:val="left"/>
      <w:pPr>
        <w:tabs>
          <w:tab w:val="left" w:pos="312"/>
        </w:tabs>
      </w:pPr>
    </w:lvl>
  </w:abstractNum>
  <w:abstractNum w:abstractNumId="12">
    <w:nsid w:val="7CC77D24"/>
    <w:multiLevelType w:val="singleLevel"/>
    <w:tmpl w:val="7CC77D24"/>
    <w:lvl w:ilvl="0" w:tentative="0">
      <w:start w:val="1"/>
      <w:numFmt w:val="upperLetter"/>
      <w:lvlText w:val="%1."/>
      <w:lvlJc w:val="left"/>
      <w:pPr>
        <w:tabs>
          <w:tab w:val="left" w:pos="312"/>
        </w:tabs>
      </w:pPr>
    </w:lvl>
  </w:abstractNum>
  <w:num w:numId="1">
    <w:abstractNumId w:val="2"/>
  </w:num>
  <w:num w:numId="2">
    <w:abstractNumId w:val="10"/>
  </w:num>
  <w:num w:numId="3">
    <w:abstractNumId w:val="12"/>
  </w:num>
  <w:num w:numId="4">
    <w:abstractNumId w:val="4"/>
  </w:num>
  <w:num w:numId="5">
    <w:abstractNumId w:val="6"/>
  </w:num>
  <w:num w:numId="6">
    <w:abstractNumId w:val="3"/>
  </w:num>
  <w:num w:numId="7">
    <w:abstractNumId w:val="9"/>
  </w:num>
  <w:num w:numId="8">
    <w:abstractNumId w:val="0"/>
  </w:num>
  <w:num w:numId="9">
    <w:abstractNumId w:val="1"/>
  </w:num>
  <w:num w:numId="10">
    <w:abstractNumId w:val="7"/>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E73A6"/>
    <w:rsid w:val="10CB34C7"/>
    <w:rsid w:val="122C7AAB"/>
    <w:rsid w:val="12630E2E"/>
    <w:rsid w:val="20466598"/>
    <w:rsid w:val="221B1D14"/>
    <w:rsid w:val="29995290"/>
    <w:rsid w:val="332A3A75"/>
    <w:rsid w:val="403D651D"/>
    <w:rsid w:val="41BB1716"/>
    <w:rsid w:val="45341EDE"/>
    <w:rsid w:val="4F7820B5"/>
    <w:rsid w:val="57F84039"/>
    <w:rsid w:val="60947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asdasd</dc:creator>
  <cp:lastModifiedBy>月半子</cp:lastModifiedBy>
  <dcterms:modified xsi:type="dcterms:W3CDTF">2019-09-18T01:07:37Z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