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需求分析：</w:t>
      </w:r>
    </w:p>
    <w:p>
      <w:pPr>
        <w:rPr>
          <w:rFonts w:hint="eastAsia"/>
        </w:rPr>
      </w:pPr>
      <w:r>
        <w:rPr>
          <w:rFonts w:hint="eastAsia"/>
        </w:rPr>
        <w:t>支持用户登陆注册，浏览花朵种类和详情，加入购物车并购买花朵。</w:t>
      </w:r>
    </w:p>
    <w:p>
      <w:pPr>
        <w:rPr>
          <w:rFonts w:hint="eastAsia"/>
        </w:rPr>
      </w:pPr>
      <w:r>
        <w:rPr>
          <w:rFonts w:hint="eastAsia"/>
        </w:rPr>
        <w:t>页面设计</w:t>
      </w:r>
    </w:p>
    <w:p>
      <w:pPr>
        <w:rPr>
          <w:rFonts w:hint="eastAsia"/>
        </w:rPr>
      </w:pPr>
      <w:r>
        <w:rPr>
          <w:rFonts w:hint="eastAsia"/>
        </w:rPr>
        <w:t>1.登陆注册页面，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2.首页设计一个花朵分类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参考图片（初步设想是按照鲜花，切叶，绿植，盆栽大类，次级分类就直接是花的名称）</w:t>
      </w:r>
    </w:p>
    <w:p>
      <w:r>
        <w:drawing>
          <wp:inline distT="0" distB="0" distL="114300" distR="114300">
            <wp:extent cx="5266690" cy="280098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点击相应分类可以查看详情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购物车界面，添加到购物车的商品可以在购物车界面看到，参考图片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00985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4.个人订单界面，在购物车点击结算直接就跳转到购买成功，点击确定后返回个人订单界面查看订单，没有购买就没有订单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5C16BF"/>
    <w:multiLevelType w:val="singleLevel"/>
    <w:tmpl w:val="575C16BF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8E4F4B"/>
    <w:rsid w:val="1C8E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Office_11.1.0.10943_F1E327BC-269C-435d-A152-05C5408002CA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2022-10-12T02:52:00Z</dcterms:created>
  <dc:creator>32759</dc:creator>
  <cp:lastModifiedBy>范小白</cp:lastModifiedBy>
  <dcterms:modified xsi:type="dcterms:W3CDTF">2022-10-12T03:01:27Z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2052-11.1.0.10943</vt:lpwstr>
  </property>
  <property fmtid="{D5CDD505-2E9C-101B-9397-08002B2CF9AE}" pid="3" name="ICV">
    <vt:lpwstr>5FF560C5664C4473971486DDE481796C</vt:lpwstr>
  </property>
</Properties>
</file>