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t>表5.1 测试环境表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类别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配置项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具体环境</w:t>
            </w:r>
          </w:p>
        </w:tc>
      </w:tr>
      <w:tr>
        <w:tc>
          <w:tcPr>
            <w:tcW w:type="dxa" w:w="2878"/>
            <w:vMerge w:val="restart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硬件环境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处理器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Apple M系列处理器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运行内存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 GB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存储空间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固态硬盘</w:t>
            </w:r>
          </w:p>
        </w:tc>
      </w:tr>
      <w:tr>
        <w:tc>
          <w:tcPr>
            <w:tcW w:type="dxa" w:w="2878"/>
            <w:vMerge w:val="restart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软件环境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macOS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后端运行环境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JDK 17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后端开发框架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Boot 4.0.3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持久层框架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MyBatis-Plus 3.5.16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后台前端框架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3 + Vite + Element Plus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小程序前端框架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uni-app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缓存组件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/ Redisson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消息组件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RabbitMQ</w:t>
            </w:r>
          </w:p>
        </w:tc>
      </w:tr>
      <w:tr>
        <w:tc>
          <w:tcPr>
            <w:tcW w:type="dxa" w:w="2878"/>
            <w:vMerge/>
            <w:vAlign w:val="center"/>
          </w:tcPr>
          <w:p/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权限认证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Sa-Token</w:t>
            </w:r>
          </w:p>
        </w:tc>
      </w:tr>
      <w:tr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测试方式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测试方法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黑盒测试与业务场景测试</w:t>
            </w:r>
          </w:p>
        </w:tc>
      </w:tr>
      <w:tr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测试对象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测试端</w:t>
            </w:r>
          </w:p>
        </w:tc>
        <w:tc>
          <w:tcPr>
            <w:tcW w:type="dxa" w:w="287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后台管理端与小程序端联动测试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