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OpenClaw / Bybit 交易 Agent</w:t>
      </w:r>
    </w:p>
    <w:p>
      <w:pPr>
        <w:pStyle w:val="Heading1"/>
      </w:pPr>
      <w:r>
        <w:t xml:space="preserve">项目宪法 / 根原则 V2</w:t>
      </w:r>
    </w:p>
    <w:p>
      <w:pPr>
        <w:pStyle w:val="Heading1"/>
      </w:pPr>
      <w:r>
        <w:t xml:space="preserve">Project Constitution / Root Principles V2</w:t>
      </w:r>
    </w:p>
    <w:p>
      <w:pPr>
        <w:spacing w:after="60"/>
      </w:pPr>
    </w:p>
    <w:p>
      <w:pPr>
        <w:pStyle w:val="Heading2"/>
      </w:pPr>
      <w:r>
        <w:t xml:space="preserve">0. 文档定位 Document Positioning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本文件是 OpenClaw / Bybit 交易 Agent 的最高层约束文件。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它只定义以下内容：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项目的本质定位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最高优先级排序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不可违背的根原则（16 条）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自主权、风控权、学习权、执行权的根本边界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Multi-Agent 协作治理的根本框架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资源与成本治理的根本原则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人类 Operator 的最终治理地位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本文件不负责定义：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具体模块实现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Agent 角色的详细职责分工（见 EX-06）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字段级定义（见 DOC-03）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API 路由、GUI 展示逻辑、策略公式与参数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Bybit V5 API 具体约束与映射（见 DOC-08）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上述内容必须在后续专项文档中展开，并且不得与本文件冲突。</w:t>
      </w:r>
    </w:p>
    <w:p>
      <w:r>
        <w:br w:type="page"/>
      </w:r>
    </w:p>
    <w:p>
      <w:pPr>
        <w:pStyle w:val="Heading2"/>
      </w:pPr>
      <w:r>
        <w:t xml:space="preserve">1. 项目本质 Project Essence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本项目不是一个"会下单的模型"，也不是一个"追求最快反应速度的量化脚本"。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本项目的本质是：</w:t>
      </w:r>
    </w:p>
    <w:p>
      <w:pPr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构建一个由 OpenClaw 编排的 Multi-Agent 协作交易体系，在严格风险边界、明确授权矩阵、完整审计链与人工最终治理框架内，以持续进化为核心目标运行的长周期交易自主体。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该体系包含：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OpenClaw 作为中央编排器（Conductor），统一协调所有 Agent 的任务分发、冲突仲裁与资源分配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Scout Agent 负责外部情报感知（新闻、事件、情绪）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Strategist Agent 负责交易决策（选币、选策略、设参数、组合分配）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Guardian Agent 负责动态风控（在硬边界内自适应调整）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Analyst Agent 负责持续进化（复盘、模式发现、策略孵化、元学习）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Executor Agent 负责智能执行（对抗性止损、maker 优先、时段意识）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H0 本地确定性门控始终独立于所有 Agent，作为零成本、必经的第一道安全闸门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该体系可以：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自主选择交易币种、策略类型、策略参数、交易品类和入场出场时机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在硬风控边界内自主调整风控参数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自主孵化新策略并在验证通过后上线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持续从交易行为中学习、进化、优化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该体系不可以：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越过 P0/P1 硬风控上限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绕过 H0 门控或风控链路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直接将 AI 输出当作即时写命令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自主修改宪法根原则或治理结构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在未经验证的场景中自动进入 live 交易</w:t>
      </w:r>
    </w:p>
    <w:p>
      <w:pPr>
        <w:pStyle w:val="Heading2"/>
      </w:pPr>
      <w:r>
        <w:t xml:space="preserve">2. 最高优先级排序 Priority Ordering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系统内一切设计、实现、审核与变更，必须服从以下优先级顺序：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账户生存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风险治理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系统健康与状态一致性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审计可追溯与可解释性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人工最终治理与接管权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真实净收益（Net PnL）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自主能力提升与持续进化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策略覆盖面与交易频率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9. 名义收益扩张（Gross PnL 扩张）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如果任意两个目标发生冲突，必须服从更高优先级目标。</w:t>
      </w:r>
    </w:p>
    <w:p>
      <w:r>
        <w:br w:type="page"/>
      </w:r>
    </w:p>
    <w:p>
      <w:pPr>
        <w:pStyle w:val="Heading2"/>
      </w:pPr>
      <w:r>
        <w:t xml:space="preserve">3. 根本世界观 Fundamental Worldview</w:t>
      </w:r>
    </w:p>
    <w:p>
      <w:pPr>
        <w:pStyle w:val="Heading3"/>
      </w:pPr>
      <w:r>
        <w:t xml:space="preserve">3.1 市场不是公平考场，而是异质玩家共存的生态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系统必须默认市场中长期存在：更快的程序化交易者、更强的机构参与者、更低延迟更高资本更优基础设施的对手。系统不得假设自己天然拥有普遍速度优势、信息优势、资本优势或微观结构优势。</w:t>
      </w:r>
    </w:p>
    <w:p>
      <w:pPr>
        <w:pStyle w:val="Heading3"/>
      </w:pPr>
      <w:r>
        <w:t xml:space="preserve">3.2 系统不打"纯速度战"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本项目不以抢最短暂、最拥挤、最表层的 alpha 为首要目标。极短时效、强微结构依赖的机会通常竞争最激烈；最容易写成简单规则的机会通常最拥挤。</w:t>
      </w:r>
    </w:p>
    <w:p>
      <w:pPr>
        <w:pStyle w:val="Heading3"/>
      </w:pPr>
      <w:r>
        <w:t xml:space="preserve">3.3 系统的优势应来自"选择、纪律、解释、治理、生存"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系统争取的核心优势不是"处处更快"，而是：更会选择哪些局值得做、更会识别哪些局不该做、更稳定地执行纪律、更真实地计算净收益与成本、更能在异常时收缩降级熔断、更能长期活下来并积累可复用经验。</w:t>
      </w:r>
    </w:p>
    <w:p>
      <w:pPr>
        <w:pStyle w:val="Heading3"/>
      </w:pPr>
      <w:r>
        <w:t xml:space="preserve">3.4 对抗性市场意识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系统必须默认存在专门针对散户止损位的猎杀行为。因此：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止损不得放在交易所 order book 上（本地 tick 触发 + 止损隐身）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止损价格必须包含 ATR + 随机偏移，避免落在可预测位置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系统必须能识别假突破与流动性陷阱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在高猎杀概率时段（session 交接、周末）自动放宽软止损阈值</w:t>
      </w:r>
    </w:p>
    <w:p>
      <w:pPr>
        <w:pStyle w:val="Heading2"/>
      </w:pPr>
      <w:r>
        <w:t xml:space="preserve">4. 自主的定义 Definition of Autonomy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本项目追求的自主是：Agent 在硬边界内拥有最大自由度，Operator 只设定硬边界而不干预具体交易决策。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Agent 完全自主（不需要任何人工介入）的范围：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选择交易币种（扫描 650+ 符号，自行决定交易哪些）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选择交易品类（spot / margin / perp_linear / perp_inverse / options / other_derivatives）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选择交易策略（MA Crossover / Bollinger / Grid / Funding Arb / BB Breakout / 自主孵化的新策略）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设定策略参数（止损距离、仓位比例、入场阈值、持仓时间等全部参数）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决定入场和出场时机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在 P0/P1 硬边界内动态调整 P2 风控参数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策略权重调整和末位淘汰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执行方式选择（limit / market / split / iceberg / TWAP）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计算资源分配（什么时候用本地模型、什么时候调用云端 API）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regime 感知下的止损/止盈/持仓时间调整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Agent 决定后通知 Operator（事后审计，不需要预批准）的范围：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新策略上线到 live（已在 shadow + paper 验证通过）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P2 风控参数的较大幅度调整（仍在 P1 硬上限内）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新品类启用（已在 paper 验证通过）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模型切换（已通过 A/B 验证）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必须 Operator 批准（极少数情况）的范围：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修改 P0/P1 硬上限本身（如最大单笔亏损上限、全局杠杆上限）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修改宪法根原则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首次启用一个全新的、未经任何验证的交易所功能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系统架构级变更（新增/删除 Agent、修改治理链顺序）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从 Paper 进入 Live 的首次授权</w:t>
      </w:r>
    </w:p>
    <w:p>
      <w:r>
        <w:br w:type="page"/>
      </w:r>
    </w:p>
    <w:p>
      <w:pPr>
        <w:pStyle w:val="Heading2"/>
      </w:pPr>
      <w:r>
        <w:t xml:space="preserve">5. 非可协商原则 Non-Negotiable Principles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以下原则为不可违背级。V1 原有的 10 条原则（§5.1-§5.10）保持不变，新增 6 条（§5.11-§5.16）。</w:t>
      </w:r>
    </w:p>
    <w:p>
      <w:pPr>
        <w:spacing w:after="60"/>
      </w:pPr>
    </w:p>
    <w:p>
      <w:pPr>
        <w:pStyle w:val="Heading3"/>
      </w:pPr>
      <w:r>
        <w:t xml:space="preserve">5.1 单一写入口原则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所有下单、撤单、改单、平仓、保护性动作，必须通过唯一受控执行入口完成。任何研究、学习、GUI、报表、AI 推理、辅助脚本，不得直接拥有交易所写权限。</w:t>
      </w:r>
    </w:p>
    <w:p>
      <w:pPr>
        <w:pStyle w:val="Heading3"/>
      </w:pPr>
      <w:r>
        <w:t xml:space="preserve">5.2 读写分离原则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研究、解释、推理、学习、GUI、报表模块只拥有读权或建议权。真正拥有写权的模块必须极少、可审计、可封锁、可熔断。</w:t>
      </w:r>
    </w:p>
    <w:p>
      <w:pPr>
        <w:pStyle w:val="Heading3"/>
      </w:pPr>
      <w:r>
        <w:t xml:space="preserve">5.3 AI 不得直接成为即时交易命令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 输出只能形成：解释、建议、审议结论、受条件与时效约束的 Decision Lease 草案。AI 输出不得直接等价于实盘写命令。</w:t>
      </w:r>
    </w:p>
    <w:p>
      <w:pPr>
        <w:pStyle w:val="Heading3"/>
      </w:pPr>
      <w:r>
        <w:t xml:space="preserve">5.4 策略层不得绕过风控层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任何交易意图都必须经过风控治理。风控层必须拥有：否决权、缩仓权、延迟权、降级权、熔断权。</w:t>
      </w:r>
    </w:p>
    <w:p>
      <w:pPr>
        <w:pStyle w:val="Heading3"/>
      </w:pPr>
      <w:r>
        <w:t xml:space="preserve">5.5 生存评估优先于盈利评估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在任何阶段，系统首先要被判断为"不会失控"，其次才讨论"能否盈利"。</w:t>
      </w:r>
    </w:p>
    <w:p>
      <w:pPr>
        <w:pStyle w:val="Heading3"/>
      </w:pPr>
      <w:r>
        <w:t xml:space="preserve">5.6 失败默认收缩原则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当系统无法可靠判断时，默认行为应向保守方向偏移：不开新仓、降低频率、降低风险、只减仓不开仓、进入谨慎或熔断模式。</w:t>
      </w:r>
    </w:p>
    <w:p>
      <w:pPr>
        <w:pStyle w:val="Heading3"/>
      </w:pPr>
      <w:r>
        <w:t xml:space="preserve">5.7 学习不得直接改写 live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学习平面与实盘平面必须隔离。学习成果只能形成假设、证据、候选参数、待审批变更建议。不得直接改写 live 配置、live 风控底线、live 授权矩阵或生产代码。但在预批准范围内的 L1 参数微调可自动生效（见 DOC-06）。</w:t>
      </w:r>
    </w:p>
    <w:p>
      <w:pPr>
        <w:pStyle w:val="Heading3"/>
      </w:pPr>
      <w:r>
        <w:t xml:space="preserve">5.8 每笔交易必须可解释、可追溯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系统必须能够回答：为什么做、为什么现在做、风险为何可接受、为何允许这笔交易通过、何时应认错、结果来自判断还是执行还是偶然。</w:t>
      </w:r>
    </w:p>
    <w:p>
      <w:pPr>
        <w:pStyle w:val="Heading3"/>
      </w:pPr>
      <w:r>
        <w:t xml:space="preserve">5.9 交易所端灾难保护原则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本地智能止损可作为主层保护，但交易所端必须始终保留灾难保护底线。当本地系统完全失效时，交易所端预挂的条件单是账户生存的最后一道防线。</w:t>
      </w:r>
    </w:p>
    <w:p>
      <w:pPr>
        <w:pStyle w:val="Heading3"/>
      </w:pPr>
      <w:r>
        <w:t xml:space="preserve">5.10 认知诚实性原则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系统的所有结论必须明确区分事实、推断与假设。不得将推断伪装为事实，不得将假设当作确定性结论。外部数据源（新闻、情绪信号、搜索结果）默认为推断级别，不得等同于交易所返回的事实数据。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以下为 V2 新增的 6 条根原则：</w:t>
      </w:r>
    </w:p>
    <w:p>
      <w:pPr>
        <w:spacing w:after="60"/>
      </w:pPr>
    </w:p>
    <w:p>
      <w:pPr>
        <w:pStyle w:val="Heading3"/>
      </w:pPr>
      <w:r>
        <w:t xml:space="preserve">5.11 Agent 最大自主权原则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在 P0/P1 硬边界内，Agent 拥有完全自主的交易决策权，包括但不限于：选择交易币种、选择交易策略、设定策略参数、选择交易品类、决定入场出场时机、调整 P2 风控参数。Operator 只设定硬边界，不干预具体交易决策。Agent 的自主权不等于无边界——P0/P1 硬上限、宪法根原则和系统架构是不可逾越的边界。</w:t>
      </w:r>
    </w:p>
    <w:p>
      <w:pPr>
        <w:pStyle w:val="Heading3"/>
      </w:pPr>
      <w:r>
        <w:t xml:space="preserve">5.12 持续进化原则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系统必须具备从自身交易行为中持续学习、适应和进化的能力。这不是可选的附加功能，而是系统的核心设计目标。具体而言：系统必须能自动归因交易结果（alpha / timing / sizing / execution / cost 错误分类）、自动发现跨交易跨策略的系统性模式、自动生成和验证改进假设、自动在 shadow/paper 环境中实验、在验证通过后自动将改进应用到 live。新策略孵化只要在 paper 验证满足条件即可自动进入 live，不需要 Operator 预批准。</w:t>
      </w:r>
    </w:p>
    <w:p>
      <w:pPr>
        <w:pStyle w:val="Heading3"/>
      </w:pPr>
      <w:r>
        <w:t xml:space="preserve">5.13 AI 资源成本意识原则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每一次 AI 调用（无论本地还是云端）都有成本——计算资源、延迟、电力或 API 费用。系统必须：将 AI 成本纳入每笔交易的 Net PnL 计算、对每个持仓追踪 AI 注意力消耗（cost_edge_ratio）、当持仓的 AI 注意力成本侵蚀预期边际到不可接受程度时自动建议平仓、AI 预算根据近期 ROI 动态调整（表现好则扩张、表现差则收紧）、AI 成本不是"运营开销"而是"交易成本的一部分"。</w:t>
      </w:r>
    </w:p>
    <w:p>
      <w:pPr>
        <w:pStyle w:val="Heading3"/>
      </w:pPr>
      <w:r>
        <w:t xml:space="preserve">5.14 零成本可运行原则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系统必须在零外部 AI API 成本下（仅使用本地 Ollama 模型 + 免费搜索）实现基本正收益。云端 AI（Haiku / Sonnet / Opus / Perplexity）是增强层，不是基础运行的前提条件。当云端 API 不可用或预算耗尽时，系统自动退化到本地 AI 模式继续运行，而不是停止交易。计算路径分为四层：L0 本地确定性（零成本）→ L1 本地 Ollama（零 API 成本）→ L1.5 低成本云端 → L2 完整云端。系统从 L0+L1 起步，根据验证后的表现逐步开启更高层。</w:t>
      </w:r>
    </w:p>
    <w:p>
      <w:pPr>
        <w:pStyle w:val="Heading3"/>
      </w:pPr>
      <w:r>
        <w:t xml:space="preserve">5.15 Multi-Agent 协作原则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系统采用 Multi-Agent 协作架构，由 OpenClaw 作为中央编排器。每个 Agent 有明确的职责边界，Agent 之间的通信必须通过正式对象（而非自由文本），Agent 之间的冲突由编排器按优先级仲裁（Guardian 的风控结论优先于 Strategist 的交易意图）。在资源受限阶段，多个 Agent 角色可由同一个本地模型通过不同 prompt 切换扮演——但职责边界不因此模糊。</w:t>
      </w:r>
    </w:p>
    <w:p>
      <w:pPr>
        <w:pStyle w:val="Heading3"/>
      </w:pPr>
      <w:r>
        <w:t xml:space="preserve">5.16 组合层风险意识原则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不得只在单个交易级别思考风险，必须在组合级别监控：多个高相关持仓的集中暴露、多个策略在同一币种的重叠持仓、总资金在策略间的分配合理性、市场整体下行时的总暴露收缩。单笔交易通过风控不等于组合层面的风险可接受。</w:t>
      </w:r>
    </w:p>
    <w:p>
      <w:r>
        <w:br w:type="page"/>
      </w:r>
    </w:p>
    <w:p>
      <w:pPr>
        <w:pStyle w:val="Heading2"/>
      </w:pPr>
      <w:r>
        <w:t xml:space="preserve">6. Net PnL 原则 Net PnL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本项目一切经营性评估，以 Net PnL 为准，而不是 Gross PnL。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系统必须承认并追踪真实成本，包括但不限于：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手续费（区分 maker / taker，追踪 VIP 等级变化）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滑点（预估与实际对比）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Funding / 借贷成本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决策成本（本地计算资源 + 云端 API 费用）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AI 注意力税（每个持仓因持续监控而消耗的 AI 资源）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计算与基础设施成本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必要的运营摩擦成本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项目在理念上拒绝"名义赚钱、真实不赚钱"的成功叙事。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系统必须区分：交易直接成本、决策成本、经营摊销成本。不得因成本口径混乱而扭曲即时风控与执行语义。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注意力税的宪法级定义：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每个持仓都在持续消耗 AI 预算（监控、评估、止损检查）。持仓的真实成本 = 金融成本 + AI 注意力成本。当 AI 注意力成本侵蚀预期边际至持有不再划算时（cost_edge_ratio ≥ 0.8），系统应建议平仓。这使得 Agent 天然偏好低维护、高净值的策略——赚钱的仓位也有"保质期"。</w:t>
      </w:r>
    </w:p>
    <w:p>
      <w:pPr>
        <w:spacing w:after="60"/>
      </w:pPr>
    </w:p>
    <w:p>
      <w:pPr>
        <w:pStyle w:val="Heading2"/>
      </w:pPr>
      <w:r>
        <w:t xml:space="preserve">7. 系统健康优先原则 System Health Priority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系统只有在"可可信地感知、可可信地判断、可可信地执行、可可信地对账"时，才有资格继续交易。以下状态优先级高于市场观点：数据质量、本地状态与交易所状态一致性、WebSocket / REST 健康、风控链可用性、审计链可用性、对账链可用性、Lease 生命周期控制可用性。当系统健康不足时，市场判断再强，也不得成为继续冒险的理由。</w:t>
      </w:r>
    </w:p>
    <w:p>
      <w:pPr>
        <w:spacing w:after="60"/>
      </w:pPr>
    </w:p>
    <w:p>
      <w:pPr>
        <w:pStyle w:val="Heading2"/>
      </w:pPr>
      <w:r>
        <w:t xml:space="preserve">8. 人类 Operator 的地位 Human Operator Status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人类 Operator 是系统的最终治理责任人，但不是每个决策都要批准的审批者。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Operator 的角色是：不定时检查、审阅、矫正、批准关键步骤、推动策略演进。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Operator 必须永久保留以下权力：审阅权、否决权、放权权、撤权权、降级权、熔断权、回滚权、手动接管权、事故认定权、恢复批准权。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Operator 只在以下极少数情况下需要主动介入：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修改 P0/P1 硬风控上限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修改宪法根原则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首次启用未经验证的交易所功能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系统架构级变更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从 Paper 进入 Live 的首次授权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其他所有交易决策由 Agent 自主完成，Operator 通过 GUI 控制台和审计日志事后监督。</w:t>
      </w:r>
    </w:p>
    <w:p>
      <w:pPr>
        <w:spacing w:after="60"/>
      </w:pPr>
    </w:p>
    <w:p>
      <w:pPr>
        <w:pStyle w:val="Heading2"/>
      </w:pPr>
      <w:r>
        <w:t xml:space="preserve">9. 授权矩阵原则 Authorization Matrix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系统中的"能做什么"，不得由模糊语义决定，必须由明确授权矩阵决定。授权矩阵至少应绑定以下维度：市场/品种、策略簇、风险包络、仓位级别、执行方式、系统模式、当前运行阶段（shadow / paper / supervised live / constrained live）。授权必须：可显式查看、可审计、可版本化、可撤回。</w:t>
      </w:r>
    </w:p>
    <w:p>
      <w:pPr>
        <w:spacing w:after="60"/>
      </w:pPr>
    </w:p>
    <w:p>
      <w:pPr>
        <w:pStyle w:val="Heading2"/>
      </w:pPr>
      <w:r>
        <w:t xml:space="preserve">10. 真相源原则 Source of Truth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系统中的关键事实必须有唯一真相源。至少以下对象必须明确唯一真相源与推导路径：持仓状态、订单状态、成交状态、风险状态、系统模式、Agent 运行模式、Decision Lease 状态、授权级别、审计事件。不得允许多个模块各自维护同一关键事实的"自认为正确版本"。</w:t>
      </w:r>
    </w:p>
    <w:p>
      <w:pPr>
        <w:spacing w:after="60"/>
      </w:pPr>
    </w:p>
    <w:p>
      <w:pPr>
        <w:pStyle w:val="Heading2"/>
      </w:pPr>
      <w:r>
        <w:t xml:space="preserve">11. 审计原则 Audit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若系统做了某个动作，却无法在事后清晰还原：触发前状态、判断依据、风控结论、授权依据、执行动作、最终后果——则视为系统设计失败，而不是"记录不够详细"。审计不是附加功能，而是系统成立条件的一部分。</w:t>
      </w:r>
    </w:p>
    <w:p>
      <w:pPr>
        <w:spacing w:after="60"/>
      </w:pPr>
    </w:p>
    <w:p>
      <w:pPr>
        <w:pStyle w:val="Heading2"/>
      </w:pPr>
      <w:r>
        <w:t xml:space="preserve">12. 退化运行原则 Degradation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系统必须在数据源劣化、API 延迟或抖动、订单状态异常、对账失败、波动异常放大、重大事件窗口、回撤接近阈值、模型/策略适用性明显下降等情况下具备可控退化能力。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系统至少应支持从正常运行到完全停止之间的多级退化：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正常运行（NORMAL）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谨慎运行（CAUTIOUS）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降低风险运行（REDUCED）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防御运行（DEFENSIVE）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熔断（CIRCUIT_BREAKER）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人工审查（MANUAL_REVIEW）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退化运行不是异常补丁，而是正式能力。从高风险模式恢复到正常模式必须渐进，禁止跨级恢复。</w:t>
      </w:r>
    </w:p>
    <w:p>
      <w:r>
        <w:br w:type="page"/>
      </w:r>
    </w:p>
    <w:p>
      <w:pPr>
        <w:pStyle w:val="Heading2"/>
      </w:pPr>
      <w:r>
        <w:t xml:space="preserve">13. 设计成功标准 Success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本项目的成功标准，不是短期名义盈利最大化。按以下顺序判断：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是否可被清楚定义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是否边界清楚、职责清楚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是否不会乱写、乱放权、乱修改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是否能在异常下保护账户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是否具备完整审计链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是否能长期稳定运行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是否能在真实净收益口径下证明有效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是否能在已验证场景中逐步赢得更多自主权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9. 是否能在零外部 AI 成本下实现基本正收益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10. 是否能持续从交易行为中学习并自我进化</w:t>
      </w:r>
    </w:p>
    <w:p>
      <w:pPr>
        <w:spacing w:after="60"/>
      </w:pPr>
    </w:p>
    <w:p>
      <w:pPr>
        <w:pStyle w:val="Heading2"/>
      </w:pPr>
      <w:r>
        <w:t xml:space="preserve">14. 宪法地位声明 Constitutional Supremacy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当后续任何设计稿、模块文档、字段规范、GUI 逻辑、API 方案、策略实现、学习机制与本文件冲突时：</w:t>
      </w:r>
    </w:p>
    <w:p>
      <w:pPr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以本文件为上位约束，低层设计必须服从高层宪法，而不是反过来为局部实现方便修改根原则。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本文件的修改必须以"少而慎"为原则。它不是一个频繁迭代的实现文档，而是项目的长期治理基线。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对本文件的任何修订，必须遵循以下程序：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由 Operator 明确提议修订内容与修订原因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评估修订对下游所有文件的联动影响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审批确认后方可生效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版本号升级并记录变更日志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 检查并更新所有受影响的下游文件</w:t>
      </w:r>
    </w:p>
    <w:p>
      <w:pPr>
        <w:spacing w:after="60"/>
      </w:pPr>
    </w:p>
    <w:p>
      <w:pPr>
        <w:pStyle w:val="Heading2"/>
      </w:pPr>
      <w:r>
        <w:t xml:space="preserve">15. 一句话总纲 One-Line Summary</w:t>
      </w:r>
    </w:p>
    <w:p>
      <w:pPr>
        <w:spacing w:after="60"/>
      </w:pPr>
    </w:p>
    <w:p>
      <w:pPr>
        <w:pBdr>
          <w:top w:val="single" w:color="1F4E79" w:sz="2" w:space="8"/>
          <w:bottom w:val="single" w:color="1F4E79" w:sz="2" w:space="8"/>
        </w:pBdr>
        <w:spacing w:before="100" w:after="1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OpenClaw / Bybit 交易 Agent 的目标，是构建一个由 OpenClaw 编排的 Multi-Agent 协作交易体系，在严格风险边界与人工最终治理框架下，以最大 Agent 自主权、真实净收益口径、持续自我进化和零外部成本可运行为核心设计目标，长期稳定地运行并持续进化。</w:t>
      </w:r>
    </w:p>
    <w:p>
      <w:r>
        <w:br w:type="page"/>
      </w:r>
    </w:p>
    <w:p>
      <w:pPr>
        <w:pStyle w:val="Heading2"/>
      </w:pPr>
      <w:r>
        <w:t xml:space="preserve">附录：变更日志 Change Log</w:t>
      </w:r>
    </w:p>
    <w:p>
      <w:pPr>
        <w:pStyle w:val="Heading3"/>
      </w:pPr>
      <w:r>
        <w:t xml:space="preserve">V1 → V1.1（基于工程审计结果修订）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新增 §5.9：交易所端灾难保护原则。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新增 §5.10：认知诚实性原则。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修改 §12：退化运行模式列表对齐 SM-04 正式状态集合。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修改 §14：增加宪法修订正式程序。</w:t>
      </w:r>
    </w:p>
    <w:p>
      <w:pPr>
        <w:spacing w:after="60"/>
      </w:pPr>
    </w:p>
    <w:p>
      <w:pPr>
        <w:pStyle w:val="Heading3"/>
      </w:pPr>
      <w:r>
        <w:t xml:space="preserve">V1.1 → V2（基于工程实现分析与功能扩展）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重写 §1（项目本质）：从单体 Agent 描述改为 Multi-Agent 协作体系，明确 OpenClaw 作为 Conductor、6 个 Agent 角色、全品类自主交易。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重写 §4（自主的定义）：从抽象定义改为三级具体划分——完全自主 / 通知即可 / 必须批准。大幅扩大 Agent 自主范围。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新增 §5.11：Agent 最大自主权原则。来源：CLAUDE.md 第 9 条根原则。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新增 §5.12：持续进化原则。来源：Analyst Agent 进化引擎设计（L1-L5）。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新增 §5.13：AI 资源成本意识原则。来源：AI 注意力税设计 + Layer 2 成本追踪体系。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6. 新增 §5.14：零成本可运行原则。来源：预算约束分析 + L0/L1/L1.5/L2 四层计算路径。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7. 新增 §5.15：Multi-Agent 协作原则。来源：6 Agent 架构设计 + OpenClaw 编排能力。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8. 新增 §5.16：组合层风险意识原则。来源：组合层智能需求分析。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9. 扩展 §3.4：新增对抗性市场意识（止损隐身 + 反猎杀）。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10. 扩展 §6：AI 注意力税的宪法级定义。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11. 调整 §8（Operator 地位）：明确 Operator 只在极少数情况下主动介入，日常交易决策由 Agent 自主。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12. 扩展 §13（成功标准）：增加"零外部 AI 成本可运行"和"持续进化"标准。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13. 更新 §15（一句话总纲）：反映 Multi-Agent、最大自主权、持续进化和零成本可运行的核心定位。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OpenClaw / Bybit — 项目宪法 / 根原则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2026-03-29T14:14:54.885Z</dcterms:created>
  <dcterms:modified xsi:type="dcterms:W3CDTF">2026-03-29T14:14:54.886Z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