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DOC-06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Change Governance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變更治理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OpenClaw / Bybit AI Agent Trading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2.0  —  2026-03-29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Classification: Internal — Governance Document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修訂歷史 /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46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change governance framework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alignment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rewrite: expanded AI autonomous scope, Agent self-adjustment L1 auto-effective, AI budget upgrade as empowerment flow, Paper→Live gate conditions, three-tier change classification (green/yellow/red)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§1 用途 /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governs how the system changes over time: which changes the Agent can make autonomously, which require Operator approval, and which are forbidden entirely.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 關鍵變更：</w:t>
      </w:r>
      <w:r>
        <w:rPr>
          <w:rFonts w:ascii="Arial" w:cs="Arial" w:eastAsia="Arial" w:hAnsi="Arial"/>
          <w:sz w:val="21"/>
          <w:szCs w:val="21"/>
        </w:rPr>
        <w:t xml:space="preserve">V1 將大部分變更定義為需要 Operator 批准。V2 大幅擴大 AI 自主範圍，反映「Agent 最大自主權」原則。同時引入三色分類法（綠/黃/紅）讓邊界更清晰。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§2 三色變更分類 / Three-Color Change Classification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system change falls into one of three categories, color-coded for clarity: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5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自動生效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can make this change autonomously. Logged to audit trail. No Operator approval needed.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YELLOW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需要審批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proposes the change. Requires explicit Operator approval before taking effect.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僅 Operator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the Operator can initiate and execute this change. Agent cannot even propose it.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§3 完整變更路由表 / Complete Change Routing Table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following table is the authoritative reference for change governance. When in doubt, consult this table.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§3.1 策略與交易變更 / Strategy &amp; Trading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new strategy to Paper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auto-deploys from incubation pipeline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P2 adaptive parameters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effective = min(P0??P1, P1); auto-logged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underperforming strategy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consecutive losses trigger auto-pause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 a strategy from paper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removes based on performance data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strategy parameters in paper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experimentation in paper environment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 strategy paper→live (known type)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if ALL gate criteria met simultaneously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 strategy paper→live (new type)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YELLOW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First-ever deployment of new type needs Operator approval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consecutive-loss auto-pause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YELLOW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must explicitly re-enable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instrument to trading universe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auto-discovers from 650+ symbols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new product family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requires P0 config and risk review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§3.2 風控變更 / Risk Control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adaptive tightening (P2)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based on market conditions; reverts when condition clears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AI attention tax thresholds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proposes, Guardian applies within bounds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P1 global hard limits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system-wide safety boundary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P0 product-family limits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product-specific safety boundary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max_daily_loss ceiling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max_drawdown ceiling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 a circuit breaker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circuit breakers are non-negotiable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§3.3 AI 計算變更 / AI Compute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Auto-downgrade compute tier (budget pressure)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auto-downgrades when approaching budget ceiling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 budget across L1/L1.5/L2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optimizes allocation within daily ceiling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 L1.5 tier (first time)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when positive net PnL sustained 2+ weeks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 L2 tier (first time)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when L1.5 demonstrates positive AI ROI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daily AI budget ceiling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YELLOW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approval; Agent may propose with ROI justification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AI provider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requires API key and cost configuration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§3.4 系統變更 / System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system_mode (read_only/paper/demo/live)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fundamental system state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Grant/revoke execution_authority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governance documents (DOC-01 through DOC-NAV)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constitutional changes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code changes to production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Agent cannot self-modify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API security configuration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Restart/stop system services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 (systemd auto-restart is infrastructure, not Agent action)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§3.5 學習變更 / Learning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observations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automatic; append-only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lessons from observations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Auto-scan enabled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hypotheses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L2+ can auto-generate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experiments in paper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pre-approval needed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 verdict on hypothesis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GREEN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proposes; high-impact go to review queue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Paper→Live gate criteria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only; fundamental safety gate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L5 meta-learning pipeline changes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YELLOW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proposes; Operator must approve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historical learning data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RED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Forbidden; learning data is append-only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§4 Paper → Live 閘門條件 / Paper-to-Live Gate Conditions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Paper→Live gate is the most critical change governance mechanism. It controls when the system transitions from paper trading to live execution.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§4.1 闘門條件 / Gate Criteria (ALL must be met simultaneously)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Duration: </w:t>
      </w:r>
      <w:r>
        <w:rPr>
          <w:rFonts w:ascii="Arial" w:cs="Arial" w:eastAsia="Arial" w:hAnsi="Arial"/>
          <w:sz w:val="21"/>
          <w:szCs w:val="21"/>
        </w:rPr>
        <w:t xml:space="preserve">≥ 4 weeks of continuous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Trade count: </w:t>
      </w:r>
      <w:r>
        <w:rPr>
          <w:rFonts w:ascii="Arial" w:cs="Arial" w:eastAsia="Arial" w:hAnsi="Arial"/>
          <w:sz w:val="21"/>
          <w:szCs w:val="21"/>
        </w:rPr>
        <w:t xml:space="preserve">≥ 500 completed round-trip trades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 PnL: </w:t>
      </w:r>
      <w:r>
        <w:rPr>
          <w:rFonts w:ascii="Arial" w:cs="Arial" w:eastAsia="Arial" w:hAnsi="Arial"/>
          <w:sz w:val="21"/>
          <w:szCs w:val="21"/>
        </w:rPr>
        <w:t xml:space="preserve">Positive after all costs (fees + AI + slippage)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Win rate: </w:t>
      </w:r>
      <w:r>
        <w:rPr>
          <w:rFonts w:ascii="Arial" w:cs="Arial" w:eastAsia="Arial" w:hAnsi="Arial"/>
          <w:sz w:val="21"/>
          <w:szCs w:val="21"/>
        </w:rPr>
        <w:t xml:space="preserve">&gt; 30% (trades closed at profit / total trades)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Sharpe ratio: </w:t>
      </w:r>
      <w:r>
        <w:rPr>
          <w:rFonts w:ascii="Arial" w:cs="Arial" w:eastAsia="Arial" w:hAnsi="Arial"/>
          <w:sz w:val="21"/>
          <w:szCs w:val="21"/>
        </w:rPr>
        <w:t xml:space="preserve">&gt; 0.5 (annualized, risk-adjusted)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§4.2 闘門評估規則 / Gate Evaluation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Evaluation is automatic: Guardian checks criteria daily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5 criteria must be met simultaneously on the same evaluation 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Criteria are evaluated per-strategy-type, not system-wide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Gate criteria themselves are RED (Operator-only to modify)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a strategy passes the gate, it becomes live-eligible but does not auto-start live trading until system_mode allows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§5 變更審計 / Change Audit Requirements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change, regardless of color, must be recorded in the audit trail.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§5.1 審計記錄必含欄位 / Required Audit Fields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Change ID (unique, sequential)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Timestamp (UTC, millisecond)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Change type and color classification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Initiator (which Agent, or Operator)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 (parameter, strategy, system component)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Old value → New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Reason / trigger condition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status (auto-approved for GREEN, pending/approved/rejected for YELLOW)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§5.2 審計可見性 / Audit Visibility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changes visible in GUI Audit Trail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GREEN changes: real-time display, no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YELLOW changes: pending status highlighted until Operator reviews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 changes: logged when Operator executes, full before/after state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§6 放權流程 / Empowerment 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核心理念：</w:t>
      </w:r>
      <w:r>
        <w:rPr>
          <w:rFonts w:ascii="Arial" w:cs="Arial" w:eastAsia="Arial" w:hAnsi="Arial"/>
          <w:sz w:val="21"/>
          <w:szCs w:val="21"/>
        </w:rPr>
        <w:t xml:space="preserve">權限按表現贏得（根原則 #4）。以下是 Agent 如何逐步獲得更高自主權的流程。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2960"/>
        <w:gridCol w:w="18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Capability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 starts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launch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can trade in paper; L0+L1 compute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L1.5 cloud unlocked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net PnL for 2+ weeks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 + Perplexity search enabled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(GREEN)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 cloud unlocked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L1.5 demonstrates positive AI ROI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Sonnet/Opus enabled for high-value decisions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(GREEN)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auto-promotion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Paper→Live gate criteria met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strategies become live-eligible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(GREEN)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Supervised Live (M chapter)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system_mode changed to live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trading with strict monitoring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(RED)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 Live (N chapter)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Sustained positive live performance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autonomous execution within P0/P1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(RED)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§7 跨文件參照 / Cross-Reference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DOC-01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憲法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Principles #4 (權限按表現贏得) and #7 (學習≠自作主張)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DOC-02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邊界定義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vs Agent authority boundary; execution boundary matrix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DOC-04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能力藍圖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Capabilities that evolve through this change governance framework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EX-01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風控邊界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P0/P1/P2 parameters governed by RED/YELLOW/GREEN rules here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EX-05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學習邊界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Learning-driven changes routed through this governance framework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EX-06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roles that determine who can initiate which changes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DOC-06 Change Governance V2.0 — OpenClaw/Bybit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OpenClaw / Bybit — Internal Governance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DOC-06 Change Governance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2026-03-29T14:56:38.406Z</dcterms:created>
  <dcterms:modified xsi:type="dcterms:W3CDTF">2026-03-29T14:56:38.407Z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