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OpenClaw / Bybit 交易 Agent</w:t>
      </w:r>
    </w:p>
    <w:p>
      <w:pPr>
        <w:pStyle w:val="Heading1"/>
      </w:pPr>
      <w:r>
        <w:t xml:space="preserve">Implementation Bridge 实施桥梁 V1</w:t>
      </w:r>
    </w:p>
    <w:p>
      <w:pPr>
        <w:pStyle w:val="Heading1"/>
      </w:pPr>
      <w:r>
        <w:t xml:space="preserve">AI 计算架构 / Bybit V5 映射 / 部署规范</w:t>
      </w:r>
    </w:p>
    <w:p>
      <w:pPr>
        <w:spacing w:after="60"/>
      </w:pPr>
    </w:p>
    <w:p>
      <w:pPr>
        <w:pStyle w:val="Heading2"/>
      </w:pPr>
      <w:r>
        <w:t xml:space="preserve">0. 文档定位 Document Positioning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本文件是治理设计与工程实现之间的桥梁文件。它回答以下问题：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计算分几层？每层用什么模型？成本多少？何时触发？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本地 Ollama 怎么部署？如何确保不影响交易系统？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Bybit V5 API 的 6 产品族、订单类型、保证金模式如何映射到治理对象？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预算怎么管？自适应逻辑是什么？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手续费怎么优化？时段意识怎么落地？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Paper → Live 的闸门条件是什么？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如与《项目宪法》冲突，以宪法为最高约束。</w:t>
      </w:r>
    </w:p>
    <w:p>
      <w:r>
        <w:br w:type="page"/>
      </w:r>
    </w:p>
    <w:p>
      <w:pPr>
        <w:pStyle w:val="Heading2"/>
      </w:pPr>
      <w:r>
        <w:t xml:space="preserve">1. 四层计算路径 Four-Tier Compute Path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每一层可独立开关。系统从 L0+L1 起步（零外部成本），根据验证后的表现逐步开启更高层。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3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本地确定性计算（H0 门控、止损检查、健康判断）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 tick，始终运行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 Ollama 7B（regime 分类、机会筛选、情绪打分）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 API，本地算力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5 分钟 + 事件触发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低成本云端（Haiku ~$0.001 + Perplexity ~$0.005）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~$0.01-0.05/次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2-5s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不确定 + 新闻扫描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完整云端（Sonnet $0.15 / Opus $0.50-4.00）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$0.15-4.00/次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5-30s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高价值机会深度分析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降级规则：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L2 不可用或预算耗尽 → 回退到 L1.5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L1.5 不可用或当日云端预算耗尽 → 回退到 L1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L1（Ollama）崩溃或超时 → 回退到 L0（纯本地确定性）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交易系统永远不等 AI，AI 是增强层不是依赖层</w:t>
      </w:r>
    </w:p>
    <w:p>
      <w:pPr>
        <w:pStyle w:val="Heading2"/>
      </w:pPr>
      <w:r>
        <w:t xml:space="preserve">2. 本地 AI 部署规范 Local AI Deployment</w:t>
      </w:r>
    </w:p>
    <w:p>
      <w:pPr>
        <w:pStyle w:val="Heading3"/>
      </w:pPr>
      <w:r>
        <w:t xml:space="preserve">2.1 硬件环境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CPU: AMD AI MAX 395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内存: 128GB 统一内存（CPU + iGPU 共享）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操作系统: Linux</w:t>
      </w:r>
    </w:p>
    <w:p>
      <w:pPr>
        <w:spacing w:after="60"/>
      </w:pPr>
    </w:p>
    <w:p>
      <w:pPr>
        <w:pStyle w:val="Heading3"/>
      </w:pPr>
      <w:r>
        <w:t xml:space="preserve">2.2 推荐模型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3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占用内存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推理速度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Qwen2.5 7B-Instruct Q4_K_M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~5GB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 tok/s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Regime 分类、机会筛选、情绪打分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备选升级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Qwen2.5 14B-Instruct Q4_K_M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~10GB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tok/s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更精确的策略选择和参数建议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32B+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20GB+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&lt;8 tok/s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太慢且抢资源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2.3 资源隔离（确保不影响交易系统）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systemd 服务设置 MemoryMax=12G，留 116GB 给交易系统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CPUQuota=150%，最多用 1.5 个核心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OOMPolicy=stop，超内存停 Ollama 不杀交易进程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调用超时 3 秒，超时则跳过本次 AI 判断走纯 L0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每分钟健康检查，连续 3 次失败自动重启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核心原则：Ollama 崩溃 = 退化到 L0 模式，不是停止交易</w:t>
      </w:r>
    </w:p>
    <w:p>
      <w:r>
        <w:br w:type="page"/>
      </w:r>
    </w:p>
    <w:p>
      <w:pPr>
        <w:pStyle w:val="Heading2"/>
      </w:pPr>
      <w:r>
        <w:t xml:space="preserve">3. 模型路由规则 Model Routing Rules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每个任务类型有默认的模型映射，可通过配置调整：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默认模型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止损检查、健康判断、H0 门控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本地确定性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永远不用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Regime 分类、机会筛选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Qwen2.5 7B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5 分钟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新闻情绪打分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Qwen2.5 7B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解析搜索结果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策略参数优化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Qwen2.5 7B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基于历史数据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新闻搜索（主搜索）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30 分钟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结果二次确认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抽样验证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高价值机会深度分析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每天 3-5 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复杂多因子交叉、新策略孵化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罕见，预算允许时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模型升级判断（Sonnet→Opus）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~$0.005 快速分诊</w:t>
            </w:r>
          </w:p>
        </w:tc>
      </w:tr>
    </w:tbl>
    <w:p>
      <w:pPr>
        <w:pStyle w:val="Heading2"/>
      </w:pPr>
      <w:r>
        <w:t xml:space="preserve">4. AI 预算管理 AI Budget Management</w:t>
      </w:r>
    </w:p>
    <w:p>
      <w:pPr>
        <w:pStyle w:val="Heading3"/>
      </w:pPr>
      <w:r>
        <w:t xml:space="preserve">4.1 三层预算控制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预算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$1.50 (Sonnet) / $4.00 (Opus)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单次推理 session 上限，可被自适应倍率调整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每日硬上限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$2.00（保守模式）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绝对上限，自适应无论如何不超过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自适应浮动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 $2/天 × 倍率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根据近 7 天 AI ROI 动态调整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 自适应预算倍率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近 7 天 AI ROI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倍率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大力花（AI 赚钱赚得多）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适度扩张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大幅收紧但不停止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数据不足 3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不判断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4.3 ROI 计算方法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 ROI = (AI 推荐产生的 Net PnL + AI 帮助规避的估算亏损) / AI 总花费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攻击价值：AI 推荐的交易的 paper PnL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防御价值：AI 建议不做的机会之后的市场表现（如果跌了 = AI 帮你躲了）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每个 session 的 PnL 回填形成闭环</w:t>
      </w:r>
    </w:p>
    <w:p>
      <w:pPr>
        <w:spacing w:after="60"/>
      </w:pPr>
    </w:p>
    <w:p>
      <w:pPr>
        <w:pStyle w:val="Heading3"/>
      </w:pPr>
      <w:r>
        <w:t xml:space="preserve">4.4 保守模式日常成本估算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单次成本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日成本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Ollama regime 扫描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Ollama 新闻解析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 Perplexity 新闻搜索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 Haiku 二次确认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Sonnet 深度分析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3次/天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$0.45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~$0.56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~$17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AI 注意力税工程规范 AI Attention Tax Engineering</w:t>
      </w:r>
    </w:p>
    <w:p>
      <w:pPr>
        <w:pStyle w:val="Heading3"/>
      </w:pPr>
      <w:r>
        <w:t xml:space="preserve">5.1 注意力等级与税率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 间隔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成本/小时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无仓位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有仓但安全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有持仓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接近触发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高波动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5.2 cost_edge_ratio 等级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cost_edge_ratio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成本可忽略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需要关注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建议减仓或平仓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持有已不划算，应平仓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5.3 参数校准规则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免税期：新开仓位前 30 分钟不计注意力税，给仓位建立利润的时间窗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策略差异化：Grid 策略默认 dormant/low 注意力，Trend 策略默认 medium/high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平仓成本门槛：注意力税触发平仓的条件是 remaining_edge &gt; close_cost + min_profit_threshold，而不是 remaining_edge &gt; 0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开仓前成本预估：预估 AI 成本 = 预估持仓时间 × 每小时 AI 税率，预估净边际 ≤ 0 则不开仓</w:t>
      </w:r>
    </w:p>
    <w:p>
      <w:pPr>
        <w:pStyle w:val="Heading2"/>
      </w:pPr>
      <w:r>
        <w:t xml:space="preserve">6. 四层搜索降级体系 Search Provider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12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Search API + Claude 推理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PerplexitySearchProvider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~$0.005/次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PERPLEXITY_API_KEY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 Ollama + web-pilot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LocalLLMWebSearchProvider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+ web-pilot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 Ollama 独立分析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LocalLLMSearchProvider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web-pilot DuckDuckGo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WebPilotSearchProvider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web-pilot scripts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自动降级：上层失败自动尝试下层，返回结果标注来源 provider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搜索结果必须带鲜度标记（5分钟前 vs 2小时前，权重不同）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搜索失败 → 降级到缓存数据 → 降级到无新闻决策（而不是阻塞）</w:t>
      </w:r>
    </w:p>
    <w:p>
      <w:r>
        <w:br w:type="page"/>
      </w:r>
    </w:p>
    <w:p>
      <w:pPr>
        <w:pStyle w:val="Heading2"/>
      </w:pPr>
      <w:r>
        <w:t xml:space="preserve">7. Bybit V5 API 约束映射 Bybit V5 Constraint Mapping</w:t>
      </w:r>
    </w:p>
    <w:p>
      <w:pPr>
        <w:pStyle w:val="Heading3"/>
      </w:pPr>
      <w:r>
        <w:t xml:space="preserve">7.1 六大产品族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000"/>
        <w:gridCol w:w="1000"/>
        <w:gridCol w:w="10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杠杆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爆仓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风控特殊性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 现货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最安全，亏损有限于本金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 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有借贷利息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Perp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1-125x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主战场，流动性最好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Inverse Perp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以币结算，双重风险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linear/inverse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有到期日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买方亏损有限，卖方无限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7.2 订单类型（10+）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Market / Limit / Conditional(Stop) / TP_SL(order-level) / TP_SL(position-level) / Trailing Stop / Reduce Only / Post Only / Iceberg / TWAP / Batch</w:t>
      </w:r>
    </w:p>
    <w:p>
      <w:pPr>
        <w:spacing w:after="60"/>
      </w:pPr>
    </w:p>
    <w:p>
      <w:pPr>
        <w:pStyle w:val="Heading3"/>
      </w:pPr>
      <w:r>
        <w:t xml:space="preserve">7.3 保证金模式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Cross（共享全账户余额）/ Isolated（每仓独立）/ Portfolio（组合保证金）</w:t>
      </w:r>
    </w:p>
    <w:p>
      <w:pPr>
        <w:pStyle w:val="Heading3"/>
      </w:pPr>
      <w:r>
        <w:t xml:space="preserve">7.4 持仓模式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One-way（单向）/ Hedge（双向对冲）</w:t>
      </w:r>
    </w:p>
    <w:p>
      <w:pPr>
        <w:spacing w:after="60"/>
      </w:pPr>
    </w:p>
    <w:p>
      <w:pPr>
        <w:pStyle w:val="Heading3"/>
      </w:pPr>
      <w:r>
        <w:t xml:space="preserve">7.5 手续费结构与优化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 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只在止损和紧急平仓时使用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非紧急入场优先 Post-Only 限价单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往返成本底线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~21 bps (taker)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maker 优先可降至 ~12 bps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Executor Agent 必须默认 maker 优先：非紧急入场用 Post-Only，止盈用限价单，只有止损和紧急平仓才用市价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VIP 等级意识：交易量达标后 taker fee 可降至 0.04% 以下，应纳入成本模型</w:t>
      </w:r>
    </w:p>
    <w:p>
      <w:pPr>
        <w:pStyle w:val="Heading2"/>
      </w:pPr>
      <w:r>
        <w:t xml:space="preserve">8. 延迟预算 Latency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统计目标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H0 门控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纯本地确定性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Ollama 推理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超时则跳过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L1.5 云端搜索+确认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超时则降级到 L1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深度分析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非实时，不阻塞交易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REST 下单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&lt;500ms p95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含网络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WS 行情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&lt;100ms p95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含解码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端到端（信号→下单）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&lt;5s (不含 L2)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 H0+L1+风控+执行</w:t>
            </w:r>
          </w:p>
        </w:tc>
      </w:tr>
    </w:tbl>
    <w:p>
      <w:pPr>
        <w:pStyle w:val="Heading2"/>
      </w:pPr>
      <w:r>
        <w:t xml:space="preserve">9. 时段意识 Session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 (UTC)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Strategist / Guardian 调整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亚洲 00:00-08:00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相对低波动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Grid/FundingArb 权重上升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欧洲开盘 07:00-08:00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波动率上升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趋势策略准备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美国开盘 13:00-14:00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波动率最高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趋势策略权重上升，注意力税升级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流动性差、假突破多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自动收紧风控 + 放宽软止损（防猎杀）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交接期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组合波动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软止损阈值放宽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部署架构 Deployment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systemd 用户服务：openclaw-trading-api.service（开机自启 + 崩溃重启）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绑定 127.0.0.1:8000（仅本地），远程访问通过 SSH 隧道或 Tailscale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OpenClaw Gateway：端口 18789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Ollama 服务：独立 systemd，资源隔离，崩溃不影响交易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Postgres：本地实例，存储 K 线、指标、交易记录、学习数据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运行时状态文件：chmod 0o600，不进 Git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预留扩展点：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Venue Adapter 抽象层：当前只有 Bybit，但接口设计预留多交易所支持（如 Binance）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Docker 化：当前裸机部署，后续可迁移到 Docker Compose</w:t>
      </w:r>
    </w:p>
    <w:p>
      <w:pPr>
        <w:pStyle w:val="Heading2"/>
      </w:pPr>
      <w:r>
        <w:t xml:space="preserve">11. Paper → Live 闸门条件 Paper-to-Live Gate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以下条件全部满足后，方可由 Operator 批准首次进入 Supervised Live：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Paper Trading 数据条件：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Paper trading 连续运行至少 4 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Round trips 至少 500 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Net PnL 为正（含全部成本）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胜率 &gt; 30%（含手续费后）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Max drawdown 未触发熔断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Sharpe ratio &gt; 0.5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系统健康条件：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风控框架实测验证通过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Freshness 闭合正常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H0 门控全部 passed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审计链完整性率 &gt; 99%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对账链 mismatch 率 &lt; 0.1%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治理条件：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Authority grant contract 已签署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Execution adapter contract 已验证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Provider pricing table 已绑定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灭灾保护单已在交易所端预挂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Operator 明确批准</w:t>
      </w:r>
    </w:p>
    <w:p>
      <w:pPr>
        <w:pStyle w:val="Heading2"/>
      </w:pPr>
      <w:r>
        <w:t xml:space="preserve">12. 安全不变量 Safety Invariants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以下不变量在任何情况下不得被违反：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P0/P1 硬风控上限不可突破（Agent 只能在内收紧）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所有交易必须通过 H0 门控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所有写操作必须通过统一执行入口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每日硬上限不可突破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Ollama 崩溃 → 退化到 L0，不停止交易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云端 API 不可用 → 退化到 L1，不停止交易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审计链不可被静默绕过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火灾保护单必须始终在交易所端存在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Paper 阶段：system_mode=read_only, execution_state=disabled, execution_authority=not_granted</w:t>
      </w:r>
    </w:p>
    <w:p>
      <w:pPr>
        <w:pStyle w:val="Heading2"/>
      </w:pPr>
      <w:r>
        <w:t xml:space="preserve">13. 一句话总纲 One-Line Summary</w:t>
      </w:r>
    </w:p>
    <w:p>
      <w:pPr>
        <w:spacing w:after="60"/>
      </w:pPr>
    </w:p>
    <w:p>
      <w:pPr>
        <w:pBdr>
          <w:top w:val="single" w:color="1F4E79" w:sz="2" w:space="8"/>
          <w:bottom w:val="single" w:color="1F4E79" w:sz="2" w:space="8"/>
        </w:pBdr>
        <w:spacing w:before="100" w:after="1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Implementation Bridge 的目标，是把治理设计的每一个原则映射到可执行的工程约束：四层计算路径确保 AI 成本可控且零外部成本可运行；Bybit V5 全量映射确保 Agent 拥有完整操作空间；资源隔离确保本地 AI 不影响交易稳定性；Paper→Live 闸门确保只有已验证的能力才能进入实盘。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OpenClaw / Bybit — Implementation Bridge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2026-03-29T14:23:09.800Z</dcterms:created>
  <dcterms:modified xsi:type="dcterms:W3CDTF">2026-03-29T14:23:09.801Z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