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DOC-NAV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Governance Document Navigator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治理文件導航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OpenClaw / Bybit AI Agent Trading System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 3.0  —  2026-03-29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20 Formal Documents  |  Classification: Internal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修訂歷史 /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46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navigator (12 documents)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Expanded to 18 documents + V1.1 updates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corrections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/ Operator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 expansion: 20 formal documents. Updated 6 docs to V2 (DOC-01/02/04/06, EX-01/05). Added 2 new docs (EX-06/07). Updated reading order and change routing.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§1 文件註冊表 / Complete Document Registry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governance document set consists of 20 formal documents organized into four categories.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§1.1 DOC 系列 — 核心治理 / Core Governance (8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00"/>
        <w:gridCol w:w="1100"/>
        <w:gridCol w:w="57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DOC-NAV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導航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document. Entry point and index for all governance documents.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憲法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principles. 16 constitutional articles including Multi-Agent, adversarial awareness, AI attention tax.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邊界定義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Agent can act. H0–H5 as Multi-Agent precursors, AI tool boundaries, execution matrix.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字段規範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specification for all data structures. No V2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能力藍圖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Agent can do. A–J ten capabilities, 6 product families, strategy autonomy, Analyst L1–L5.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Truth Source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of truth definitions. No V2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變更治理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changes are governed. Three-color classification (GREEN/YELLOW/RED), empowerment flow.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事故治理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 procedures. No V2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實施橋樑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implementation. L0–L2 compute paths, Ollama deployment, AI budget, Bybit V5 mapping.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§1.2 EX 系列 — 執行邊界 / Execution Boundaries (7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0"/>
        <w:gridCol w:w="1100"/>
        <w:gridCol w:w="5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風控邊界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P0/P1/P2 three-tier risk, Guardian adaptive, adversarial stops, attention tax, portfolio risk.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OMS 邊界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Management System boundaries. No V2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plane boundaries. No V2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 boundaries. No V2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學習邊界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Evolution Engine L1–L5, strategy incubation, transfer learning, regime prediction.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Agent roles (Scout/Strategist/Guardian/Analyst/Executor), orchestration, conflict arbitration.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感知平面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2026-03-29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data sources, freshness model, event calendar, Agent data access matrix.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§1.3 SM 系列 — 狀態機 / State Machines (4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00"/>
        <w:gridCol w:w="1100"/>
        <w:gridCol w:w="53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SM-01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授權 SM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state machine. No V2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SM-02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Lease SM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Lease lifecycle state machine. No V2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SM-03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OMS SM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Management state machine. No V2 needed.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SM-04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運行模式 SM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2026-03-26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run mode state machine. No V2 needed.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§1.4 歷史文件 / Historical Documents (2 documents, archived)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0"/>
        <w:gridCol w:w="1100"/>
        <w:gridCol w:w="55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HIST-01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歷史過渡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transition notes from early development. Archived, not maintained.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HIST-02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歷史編號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2026-03-24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numbering system mapping (D21/D22/G1-G6 etc.). Archived, not maintained.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§2 建議閱讀順序 / Recommended Reading Order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Different audiences should read documents in different orders.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§2.1 全面理解（新人）/ Complete Understanding (New Reader)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DOC-NAV V3</w:t>
      </w:r>
      <w:r>
        <w:rPr>
          <w:rFonts w:ascii="Arial" w:cs="Arial" w:eastAsia="Arial" w:hAnsi="Arial"/>
          <w:sz w:val="21"/>
          <w:szCs w:val="21"/>
        </w:rPr>
        <w:t xml:space="preserve"> — This navigator (you are here)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DOC-01 V2</w:t>
      </w:r>
      <w:r>
        <w:rPr>
          <w:rFonts w:ascii="Arial" w:cs="Arial" w:eastAsia="Arial" w:hAnsi="Arial"/>
          <w:sz w:val="21"/>
          <w:szCs w:val="21"/>
        </w:rPr>
        <w:t xml:space="preserve"> — Constitution: understand the root principles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DOC-04 V2</w:t>
      </w:r>
      <w:r>
        <w:rPr>
          <w:rFonts w:ascii="Arial" w:cs="Arial" w:eastAsia="Arial" w:hAnsi="Arial"/>
          <w:sz w:val="21"/>
          <w:szCs w:val="21"/>
        </w:rPr>
        <w:t xml:space="preserve"> — Capability Blueprint: what the system can do (A–J)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DOC-02 V2</w:t>
      </w:r>
      <w:r>
        <w:rPr>
          <w:rFonts w:ascii="Arial" w:cs="Arial" w:eastAsia="Arial" w:hAnsi="Arial"/>
          <w:sz w:val="21"/>
          <w:szCs w:val="21"/>
        </w:rPr>
        <w:t xml:space="preserve"> — Boundary Definition: where the Agent operates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EX-01 V2</w:t>
      </w:r>
      <w:r>
        <w:rPr>
          <w:rFonts w:ascii="Arial" w:cs="Arial" w:eastAsia="Arial" w:hAnsi="Arial"/>
          <w:sz w:val="21"/>
          <w:szCs w:val="21"/>
        </w:rPr>
        <w:t xml:space="preserve"> — Risk Control: how safety is enforced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EX-06 V1</w:t>
      </w:r>
      <w:r>
        <w:rPr>
          <w:rFonts w:ascii="Arial" w:cs="Arial" w:eastAsia="Arial" w:hAnsi="Arial"/>
          <w:sz w:val="21"/>
          <w:szCs w:val="21"/>
        </w:rPr>
        <w:t xml:space="preserve"> — Multi-Agent: who does what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EX-05 V2</w:t>
      </w:r>
      <w:r>
        <w:rPr>
          <w:rFonts w:ascii="Arial" w:cs="Arial" w:eastAsia="Arial" w:hAnsi="Arial"/>
          <w:sz w:val="21"/>
          <w:szCs w:val="21"/>
        </w:rPr>
        <w:t xml:space="preserve"> — Learning: how the system evolves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DOC-06 V2</w:t>
      </w:r>
      <w:r>
        <w:rPr>
          <w:rFonts w:ascii="Arial" w:cs="Arial" w:eastAsia="Arial" w:hAnsi="Arial"/>
          <w:sz w:val="21"/>
          <w:szCs w:val="21"/>
        </w:rPr>
        <w:t xml:space="preserve"> — Change Governance: how changes are controlled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DOC-08 V1</w:t>
      </w:r>
      <w:r>
        <w:rPr>
          <w:rFonts w:ascii="Arial" w:cs="Arial" w:eastAsia="Arial" w:hAnsi="Arial"/>
          <w:sz w:val="21"/>
          <w:szCs w:val="21"/>
        </w:rPr>
        <w:t xml:space="preserve"> — Implementation Bridge: technical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EX-07 V1</w:t>
      </w:r>
      <w:r>
        <w:rPr>
          <w:rFonts w:ascii="Arial" w:cs="Arial" w:eastAsia="Arial" w:hAnsi="Arial"/>
          <w:sz w:val="21"/>
          <w:szCs w:val="21"/>
        </w:rPr>
        <w:t xml:space="preserve"> — Data Plane: data sources and freshness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Remaining docs</w:t>
      </w:r>
      <w:r>
        <w:rPr>
          <w:rFonts w:ascii="Arial" w:cs="Arial" w:eastAsia="Arial" w:hAnsi="Arial"/>
          <w:sz w:val="21"/>
          <w:szCs w:val="21"/>
        </w:rPr>
        <w:t xml:space="preserve"> — as needed for specific topics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§2.2 風控專題 / Risk Control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DOC-01 V2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EX-01 V2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DOC-02 V2 §5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EX-06 V1</w:t>
      </w:r>
      <w:r>
        <w:rPr>
          <w:rFonts w:ascii="Arial" w:cs="Arial" w:eastAsia="Arial" w:hAnsi="Arial"/>
          <w:sz w:val="21"/>
          <w:szCs w:val="21"/>
        </w:rPr>
        <w:t xml:space="preserve"> (Guardian role) → SM-01/02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§2.3 學習與進化專題 / Learning &amp; Evolution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DOC-01 V2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EX-05 V2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DOC-04 V2 §6</w:t>
      </w:r>
      <w:r>
        <w:rPr>
          <w:rFonts w:ascii="Arial" w:cs="Arial" w:eastAsia="Arial" w:hAnsi="Arial"/>
          <w:sz w:val="21"/>
          <w:szCs w:val="21"/>
        </w:rPr>
        <w:t xml:space="preserve"> (Analyst L1–L5)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DOC-06 V2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EX-07 V1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§2.4 技術實現專題 / Technical Implementation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DOC-08 V1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DOC-04 V2 §3</w:t>
      </w:r>
      <w:r>
        <w:rPr>
          <w:rFonts w:ascii="Arial" w:cs="Arial" w:eastAsia="Arial" w:hAnsi="Arial"/>
          <w:sz w:val="21"/>
          <w:szCs w:val="21"/>
        </w:rPr>
        <w:t xml:space="preserve"> (product families)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EX-07 V1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DOC-03 V1.1</w:t>
      </w:r>
      <w:r>
        <w:rPr>
          <w:rFonts w:ascii="Arial" w:cs="Arial" w:eastAsia="Arial" w:hAnsi="Arial"/>
          <w:sz w:val="21"/>
          <w:szCs w:val="21"/>
        </w:rPr>
        <w:t xml:space="preserve"> → SM-01/02/03/04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§3 V2 擴展摘要 / V2 Expansion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V2 expansion was conducted on 2026-03-29 to align governance documents with the system’s evolved Multi-Agent architecture, full-category trading design, and learning engine capabilities.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§3.1 變更統計 / Change Statistics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Documents updated to V2: </w:t>
      </w:r>
      <w:r>
        <w:rPr>
          <w:rFonts w:ascii="Arial" w:cs="Arial" w:eastAsia="Arial" w:hAnsi="Arial"/>
          <w:sz w:val="21"/>
          <w:szCs w:val="21"/>
        </w:rPr>
        <w:t xml:space="preserve">6 (DOC-01, DOC-02, DOC-04, DOC-06, EX-01, EX-05)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Documents created as V1: </w:t>
      </w:r>
      <w:r>
        <w:rPr>
          <w:rFonts w:ascii="Arial" w:cs="Arial" w:eastAsia="Arial" w:hAnsi="Arial"/>
          <w:sz w:val="21"/>
          <w:szCs w:val="21"/>
        </w:rPr>
        <w:t xml:space="preserve">2 (EX-06 Multi-Agent, EX-07 Data Plane)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Documents added in prior V2 session: </w:t>
      </w:r>
      <w:r>
        <w:rPr>
          <w:rFonts w:ascii="Arial" w:cs="Arial" w:eastAsia="Arial" w:hAnsi="Arial"/>
          <w:sz w:val="21"/>
          <w:szCs w:val="21"/>
        </w:rPr>
        <w:t xml:space="preserve">1 (DOC-08 Implementation Bridge V1)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Documents unchanged: </w:t>
      </w:r>
      <w:r>
        <w:rPr>
          <w:rFonts w:ascii="Arial" w:cs="Arial" w:eastAsia="Arial" w:hAnsi="Arial"/>
          <w:sz w:val="21"/>
          <w:szCs w:val="21"/>
        </w:rPr>
        <w:t xml:space="preserve">10 (DOC-03/05/07, EX-02/03/04, SM-01/02/03/04)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Historical archived: </w:t>
      </w:r>
      <w:r>
        <w:rPr>
          <w:rFonts w:ascii="Arial" w:cs="Arial" w:eastAsia="Arial" w:hAnsi="Arial"/>
          <w:sz w:val="21"/>
          <w:szCs w:val="21"/>
        </w:rPr>
        <w:t xml:space="preserve">2 (HIST-01, HIST-02)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formal documents: </w:t>
      </w:r>
      <w:r>
        <w:rPr>
          <w:rFonts w:ascii="Arial" w:cs="Arial" w:eastAsia="Arial" w:hAnsi="Arial"/>
          <w:sz w:val="21"/>
          <w:szCs w:val="21"/>
        </w:rPr>
        <w:t xml:space="preserve">20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§3.2 主要新增內容 / Key New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Multi-Agent architecture: </w:t>
      </w:r>
      <w:r>
        <w:rPr>
          <w:rFonts w:ascii="Arial" w:cs="Arial" w:eastAsia="Arial" w:hAnsi="Arial"/>
          <w:sz w:val="21"/>
          <w:szCs w:val="21"/>
        </w:rPr>
        <w:t xml:space="preserve">OpenClaw as Conductor + 5 Agents (Scout/Strategist/Guardian/Analyst/Executor)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A–J capability goals: </w:t>
      </w:r>
      <w:r>
        <w:rPr>
          <w:rFonts w:ascii="Arial" w:cs="Arial" w:eastAsia="Arial" w:hAnsi="Arial"/>
          <w:sz w:val="21"/>
          <w:szCs w:val="21"/>
        </w:rPr>
        <w:t xml:space="preserve">10 capability targets with completion tracking and gate phases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P0/P1/P2 three-tier risk: </w:t>
      </w:r>
      <w:r>
        <w:rPr>
          <w:rFonts w:ascii="Arial" w:cs="Arial" w:eastAsia="Arial" w:hAnsi="Arial"/>
          <w:sz w:val="21"/>
          <w:szCs w:val="21"/>
        </w:rPr>
        <w:t xml:space="preserve">merge formula effective = min(P0??P1, P1) with complete parameter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Adversarial stop design: </w:t>
      </w:r>
      <w:r>
        <w:rPr>
          <w:rFonts w:ascii="Arial" w:cs="Arial" w:eastAsia="Arial" w:hAnsi="Arial"/>
          <w:sz w:val="21"/>
          <w:szCs w:val="21"/>
        </w:rPr>
        <w:t xml:space="preserve">dual-layer stops + concealment + 6 anti-hunt mechanisms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attention tax: </w:t>
      </w:r>
      <w:r>
        <w:rPr>
          <w:rFonts w:ascii="Arial" w:cs="Arial" w:eastAsia="Arial" w:hAnsi="Arial"/>
          <w:sz w:val="21"/>
          <w:szCs w:val="21"/>
        </w:rPr>
        <w:t xml:space="preserve">cost_edge_ratio grading A–F with auto-close and protection mechanisms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Analyst evolution L1–L5: </w:t>
      </w:r>
      <w:r>
        <w:rPr>
          <w:rFonts w:ascii="Arial" w:cs="Arial" w:eastAsia="Arial" w:hAnsi="Arial"/>
          <w:sz w:val="21"/>
          <w:szCs w:val="21"/>
        </w:rPr>
        <w:t xml:space="preserve">from post-trade review to meta-learning with unlock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Strategy incubation: </w:t>
      </w:r>
      <w:r>
        <w:rPr>
          <w:rFonts w:ascii="Arial" w:cs="Arial" w:eastAsia="Arial" w:hAnsi="Arial"/>
          <w:sz w:val="21"/>
          <w:szCs w:val="21"/>
        </w:rPr>
        <w:t xml:space="preserve">autonomous paper deployment → auto-promotion when gate criteria met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Three-color change governance: </w:t>
      </w:r>
      <w:r>
        <w:rPr>
          <w:rFonts w:ascii="Arial" w:cs="Arial" w:eastAsia="Arial" w:hAnsi="Arial"/>
          <w:sz w:val="21"/>
          <w:szCs w:val="21"/>
        </w:rPr>
        <w:t xml:space="preserve">GREEN (auto) / YELLOW (approval) / RED (operator-only)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Zero-cost runnable: </w:t>
      </w:r>
      <w:r>
        <w:rPr>
          <w:rFonts w:ascii="Arial" w:cs="Arial" w:eastAsia="Arial" w:hAnsi="Arial"/>
          <w:sz w:val="21"/>
          <w:szCs w:val="21"/>
        </w:rPr>
        <w:t xml:space="preserve">L0+L1 sufficient for basic operation; cloud tiers activated by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Session/regime awareness: </w:t>
      </w:r>
      <w:r>
        <w:rPr>
          <w:rFonts w:ascii="Arial" w:cs="Arial" w:eastAsia="Arial" w:hAnsi="Arial"/>
          <w:sz w:val="21"/>
          <w:szCs w:val="21"/>
        </w:rPr>
        <w:t xml:space="preserve">Asia/Europe/Americas/Weekend + crypto event calendar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§4 變更路由快速查詢 / Change Routing Quick Reference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you need to make a change, find it in this table to know which document governs it and what approval is needed.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To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can the Agent trade?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DOC-04 §3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family matrix, order types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strategies are available?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DOC-04 §4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library, autonomous scope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are risks controlled?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EX-01 §2–4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P0/P1/P2, stops, attention tax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does what?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EX-06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roles, conflict arbitration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does the system learn?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Pipeline, L1–L5, incubation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changes need approval?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DOC-06 §3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GREEN/YELLOW/RED routing tables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data is available?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EX-07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sources, freshness, access matrix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does compute work?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DOC-08 + DOC-02 §3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L0–L2 tiers, trigger conditions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can we go live?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DOC-04 §11 + DOC-06 §4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Paper→Live gate: 4wk/500/PnL/30%/Sharpe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are the root rules?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DOC-01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root principles + 7 additional articles</w:t>
            </w:r>
          </w:p>
        </w:tc>
      </w:tr>
    </w:tbl>
    <w:p>
      <w:pPr>
        <w:spacing w:after="80"/>
      </w:pPr>
    </w:p>
    <w:p>
      <w:pPr>
        <w:pBdr>
          <w:top w:val="single" w:color="2E75B6" w:sz="6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 — DOC-NAV Governance Document Navigator V3.0 — OpenClaw/Bybit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OpenClaw / Bybit — Internal Governance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DOC-NAV Governance Navigator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2026-03-29T14:58:40.306Z</dcterms:created>
  <dcterms:modified xsi:type="dcterms:W3CDTF">2026-03-29T14:58:40.307Z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