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EX-01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Risk Control Boundary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風控邊界定義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OpenClaw / Bybit AI Agent Trading System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Version 2.0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2026-03-29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Classification: Internal — Governance Document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修訂歷史 /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400"/>
        <w:gridCol w:w="46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/ Operator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risk boundary definition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/ Operator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Alignment with DOC-01 V1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/ Operator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expansion: P0/P1/P2 three-tier merge rules, Guardian dynamic adaptive boundaries, AI attention tax mechanism, adversarial stop design (hard/soft + concealment + ATR + anti-hunt), portfolio-level risk control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§1 用途與原則 / Purpose &amp; Principles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document defines the complete risk control framework for the OpenClaw/Bybit trading system. It specifies every risk parameter, its source of authority, and the rules governing how parameters interact across the three-tier priority system.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核心原則：</w:t>
      </w:r>
      <w:r>
        <w:rPr>
          <w:rFonts w:ascii="Arial" w:cs="Arial" w:eastAsia="Arial" w:hAnsi="Arial"/>
          <w:sz w:val="21"/>
          <w:szCs w:val="21"/>
        </w:rPr>
        <w:t xml:space="preserve">Risk control is the Guardian Agent’s domain. The Guardian has override authority over all other Agents. No trade, no strategy, no system change may bypass risk controls.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V2 擴展：</w:t>
      </w:r>
      <w:r>
        <w:rPr>
          <w:rFonts w:ascii="Arial" w:cs="Arial" w:eastAsia="Arial" w:hAnsi="Arial"/>
          <w:sz w:val="21"/>
          <w:szCs w:val="21"/>
        </w:rPr>
        <w:t xml:space="preserve">V1 僅定義基本風控參數。V2 新增：P0/P1/P2 三層合併規則、Guardian 動態自適應、AI 注意力稅風控機制、對抗性止損完整設計、組合層風控。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§2 三層優先級風控體系 / Three-Tier Priority Risk Control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risk framework operates on three tiers with strict priority ordering: P0 &gt; P1 &gt; P2. Higher-priority tiers always override lower-priority ones.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§2.1 層級定義 / Tier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360"/>
        <w:gridCol w:w="1400"/>
        <w:gridCol w:w="18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By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Modifiable By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品類專屬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Product-family-specific hard limits. Set by Operator for each product family independently. Cannot be modified by any Agent.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全局硬上限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System-wide hard limits that apply across all product families. Absolute defense line.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only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自適應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Agent-adjustable parameters that must stay within the effective boundary. Agent can tighten but never loosen beyond P0/P1.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(Guardian)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 Agent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§2.2 三層合併規則 / Three-Tier Merge Rule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核心公式：</w:t>
      </w:r>
      <w:r>
        <w:rPr>
          <w:rFonts w:ascii="Arial" w:cs="Arial" w:eastAsia="Arial" w:hAnsi="Arial"/>
          <w:sz w:val="21"/>
          <w:szCs w:val="21"/>
        </w:rPr>
        <w:t xml:space="preserve">effective = min(P0 ?? P1, P1)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formula means: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If P0 is set for this product family: </w:t>
      </w:r>
      <w:r>
        <w:rPr>
          <w:rFonts w:ascii="Arial" w:cs="Arial" w:eastAsia="Arial" w:hAnsi="Arial"/>
          <w:sz w:val="21"/>
          <w:szCs w:val="21"/>
        </w:rPr>
        <w:t xml:space="preserve">effective = min(P0, P1) — the stricter of the two applies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If P0 is not set (null): </w:t>
      </w:r>
      <w:r>
        <w:rPr>
          <w:rFonts w:ascii="Arial" w:cs="Arial" w:eastAsia="Arial" w:hAnsi="Arial"/>
          <w:sz w:val="21"/>
          <w:szCs w:val="21"/>
        </w:rPr>
        <w:t xml:space="preserve">effective = P1 — global limit applies as the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P2 (Agent adaptive): </w:t>
      </w:r>
      <w:r>
        <w:rPr>
          <w:rFonts w:ascii="Arial" w:cs="Arial" w:eastAsia="Arial" w:hAnsi="Arial"/>
          <w:sz w:val="21"/>
          <w:szCs w:val="21"/>
        </w:rPr>
        <w:t xml:space="preserve">must stay within effective. Agent can tighten (lower max_position, tighter stops) but never loosen beyond effective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合併範例 / Merge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500"/>
        <w:gridCol w:w="1800"/>
        <w:gridCol w:w="1000"/>
        <w:gridCol w:w="24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max_position_usd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$50,000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$10,000 (spot)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min(10000, 50000) = $10,000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$8,000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tightened within effective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max_position_usd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$50,000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(options)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$50,000 (P1 fallback)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$50,000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not set; P1 becomes effective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max_leverage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10×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3× (perp_linear)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min(3, 10) = 3×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further reduced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max_daily_loss_pct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 (P1 fallback)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3%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tightened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hard_stop_pct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 (perp_linear)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min(5, 8) = 5%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4%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tightened stop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§2.3 風控參數完整清單 / Complete Risk Parameter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200"/>
        <w:gridCol w:w="1200"/>
        <w:gridCol w:w="17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max_position_usd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position size in USD equivalent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per family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 can tighten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max_leverage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leverage multiplier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per family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 can tighten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max_daily_loss_pct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daily loss as % of equity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 can tighten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max_daily_loss_usd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daily loss in absolute USD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 can tighten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hard_stop_pct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stop-loss percentage per position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per family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 can tighten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max_open_positions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concurrent open positions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per family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 can tighten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max_drawdown_pct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portfolio drawdown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 can tighten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max_margin_utilization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margin usage as % of available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per family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 can tighten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max_single_order_usd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single order size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per family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 can tighten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consecutive_loss_pause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 after N consecutive losses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(default 10)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 can tighten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max_correlated_exposure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exposure to correlated positions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 can tighten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funding_rate_threshold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acceptable funding rate for holding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 sets dynamically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§3 Guardian 動態自適應邊界 / Guardian Dynamic Adaptive Boundaries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Guardian Agent dynamically adjusts P2 parameters based on real-time market conditions and system state. These adjustments are automatic, logged, and always within P0/P1 bounds.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§3.1 自適應觸發條件 / Adaptive Trigger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Guardian Response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volatility detected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Widen stops (1.5×), reduce position sizes (0.7×), increase margin buffer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 stop-hunting in volatile markets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Squeeze regime detected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Tighten time stops (0.6×), reduce new entries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Avoid being trapped in low-momentum positions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Trending regime confirmed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 wider TP (1.3×), extend time stops (1.5×)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 winners run in confirmed trends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Consecutive losses (&lt; 10)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Progressively reduce position sizes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Gradual de-risking before auto-pause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correlation &gt; 0.7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new correlated entries, flag for position reduction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 concentration risk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Margin utilization &gt; 70%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new entries, reduce-only mode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Preserve margin safety buffer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 degraded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 new entries, maintain existing only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 before market judgment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budget near ceiling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Downgrade compute tier, reduce scan frequency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discipline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§3.2 自適應規則 / Adaptive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adaptive changes are logged to audit trail with reason, old value, new value, and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Adaptive changes are temporary: when trigger condition clears, parameters revert to baseline P2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Adaptive changes can only tighten (never loosen) relative to current P2 baseline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Multiple adaptive triggers stack: the most restrictive value wins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Operator can override any adaptive change via Control API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§4 對抗性止損設計 / Adversarial Stop-Loss Design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設計哲學：</w:t>
      </w:r>
      <w:r>
        <w:rPr>
          <w:rFonts w:ascii="Arial" w:cs="Arial" w:eastAsia="Arial" w:hAnsi="Arial"/>
          <w:sz w:val="21"/>
          <w:szCs w:val="21"/>
        </w:rPr>
        <w:t xml:space="preserve">The market contains adversarial actors who profit from triggering clustered stop-loss orders. Our stop system must be invisible, adaptive, and unpredictable.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§4.1 雙層止損架構 / Dual-Layer Stop Architecture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800"/>
        <w:gridCol w:w="2400"/>
        <w:gridCol w:w="20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 Setting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Modifiability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 Stop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硬止損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Absolute defense line. Triggered unconditionally when price reaches level.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global ceiling (e.g., 8% max loss)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disabled, never loosened beyond P1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 Stop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軟止損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Agent-evaluated conditional stop. Guardian assesses context before triggering.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ATR-based + regime-adjusted + random offset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be adjusted within hard stop boundary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§4.2 止損隱身 / Stop Concealment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核心規則：</w:t>
      </w:r>
      <w:r>
        <w:rPr>
          <w:rFonts w:ascii="Arial" w:cs="Arial" w:eastAsia="Arial" w:hAnsi="Arial"/>
          <w:sz w:val="21"/>
          <w:szCs w:val="21"/>
        </w:rPr>
        <w:t xml:space="preserve">NEVER place stop orders on the exchange order book. All stops are monitored and triggered locally by the tick() function.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Exchange stop orders are visible to market makers and can be hunted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stops execute as market orders only when the trigger condition is met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This means the Agent must maintain real-time price monitoring (WebSocket connection) at all times when positions are open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Fallback: </w:t>
      </w:r>
      <w:r>
        <w:rPr>
          <w:rFonts w:ascii="Arial" w:cs="Arial" w:eastAsia="Arial" w:hAnsi="Arial"/>
          <w:sz w:val="21"/>
          <w:szCs w:val="21"/>
        </w:rPr>
        <w:t xml:space="preserve">if WebSocket disconnects for &gt; 30s, place emergency hard stop on exchange as safety net, remove when WS reconnects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§4.3 反獵殺機制 / Anti-Hunt Mechanisms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ATR-based dynamic stops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distance scales with current volatility (Average True Range). Wider in volatile markets, tighter in calm markets.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fixed-percentage stops from being trivially hunted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 offset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random offset (±0.1–0.3 ATR) added to calculated stop level. Different for each position.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Makes stop levels unpredictable to adversarial actors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Fake breakout detection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triggering soft stop, check: was this a wick/spike or sustained move? Check volume, multiple timeframes.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Avoids triggering on engineered wicks designed to sweep stops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Liquidity-aware exit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closing a position, assess current order book depth. Split large closes into smaller chunks if liquidity is thin.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adverse price impact from large stop-triggered exits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Non-standard position sizes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Avoid round-number position sizes (e.g., exactly 1.0000 BTC). Use irregular quantities.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Reduces algorithmic footprint detection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Correlated asset validation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triggering soft stop, check if correlated assets show similar move. If isolated to one asset, may be manipulation.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Distinguishes market-wide moves from targeted manipulation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§4.4 Regime 感知止損調整 / Regime-Aware Stop Adjustment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Session 11 R1 implemented three-dimensional regime-aware multipliers: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600"/>
        <w:gridCol w:w="386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 ×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 ×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Stop ×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1.0×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1.3×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1.5× (~72h)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 winners run; standard stops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1.0×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0.9×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1.0× (~48h)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parameters for mean-reversion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volatile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1.5×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0.8×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0.8× (~38h)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Wider stops to avoid noise; take profits earlier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squeeze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0.6×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1.0×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0.3× (~14h)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Tight time stops; expect breakout or exit quickly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new entries allowed; existing positions use default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§5 AI 注意力稅風控機制 / AI Attention Tax Risk Mechanism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open position consumes AI monitoring resources. The attention tax mechanism ensures that positions whose monitoring cost exceeds their expected edge are identified and closed.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§5.1 計算公式 / Calculation Formula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cost_edge_ratio = total_holding_cost / initial_expected_edge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Where total_holding_cost includes: funding fees, AI monitoring cost (per-tick evaluation), API call cost attributed to this position, and time-decay of edge.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§5.2 等級制度 / Grade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000"/>
        <w:gridCol w:w="4960"/>
        <w:gridCol w:w="18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0.2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Healthy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well within edge; continue holding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6600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0.4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00"/>
                <w:sz w:val="18"/>
                <w:szCs w:val="18"/>
              </w:rPr>
              <w:t xml:space="preserve">Acceptable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Monitor; no action needed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0.6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18"/>
                <w:szCs w:val="18"/>
              </w:rPr>
              <w:t xml:space="preserve">Warning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 flags for review; consider tightening TP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0.8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Danger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 actively seeks exit opportunity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0.8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Auto-close triggered (if edge &gt; taker close fee)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§5.3 保護機制 / Protection Mechanisms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免稅期 (Tax-free period): </w:t>
      </w:r>
      <w:r>
        <w:rPr>
          <w:rFonts w:ascii="Arial" w:cs="Arial" w:eastAsia="Arial" w:hAnsi="Arial"/>
          <w:sz w:val="21"/>
          <w:szCs w:val="21"/>
        </w:rPr>
        <w:t xml:space="preserve">First 30 minutes after position open are exempt. New positions need time to develop.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策略差異化閾值: </w:t>
      </w:r>
      <w:r>
        <w:rPr>
          <w:rFonts w:ascii="Arial" w:cs="Arial" w:eastAsia="Arial" w:hAnsi="Arial"/>
          <w:sz w:val="21"/>
          <w:szCs w:val="21"/>
        </w:rPr>
        <w:t xml:space="preserve">Grid strategies have higher thresholds (longer holding expected); scalp strategies have tighter thresholds.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平倉成本門檻 (Close cost gate): </w:t>
      </w:r>
      <w:r>
        <w:rPr>
          <w:rFonts w:ascii="Arial" w:cs="Arial" w:eastAsia="Arial" w:hAnsi="Arial"/>
          <w:sz w:val="21"/>
          <w:szCs w:val="21"/>
        </w:rPr>
        <w:t xml:space="preserve">Auto-close only triggers when edge_usd &gt; notional × 0.00055 (taker fee). Prevents net-loss closes. (Session 12 F2)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Fill 碎片化修復: </w:t>
      </w:r>
      <w:r>
        <w:rPr>
          <w:rFonts w:ascii="Arial" w:cs="Arial" w:eastAsia="Arial" w:hAnsi="Arial"/>
          <w:sz w:val="21"/>
          <w:szCs w:val="21"/>
        </w:rPr>
        <w:t xml:space="preserve">Tail-quantity check reduces fills per order from 25–30 to ≤10, lowering attention tax burn rate. (Session 12 F1)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§6 組合層風控 / Portfolio-Level Risk Control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Beyond individual position risk, the Guardian monitors aggregate portfolio risk across all dimensions.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§6.1 相關性監控 / Correlation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Pairwise correlation tracking: </w:t>
      </w:r>
      <w:r>
        <w:rPr>
          <w:rFonts w:ascii="Arial" w:cs="Arial" w:eastAsia="Arial" w:hAnsi="Arial"/>
          <w:sz w:val="21"/>
          <w:szCs w:val="21"/>
        </w:rPr>
        <w:t xml:space="preserve">compute rolling correlation between all open position pairs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Portfolio correlation threshold: </w:t>
      </w:r>
      <w:r>
        <w:rPr>
          <w:rFonts w:ascii="Arial" w:cs="Arial" w:eastAsia="Arial" w:hAnsi="Arial"/>
          <w:sz w:val="21"/>
          <w:szCs w:val="21"/>
        </w:rPr>
        <w:t xml:space="preserve">if average pairwise correlation &gt; 0.7, block new entries in correlated instruments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Correlation breakdown: </w:t>
      </w:r>
      <w:r>
        <w:rPr>
          <w:rFonts w:ascii="Arial" w:cs="Arial" w:eastAsia="Arial" w:hAnsi="Arial"/>
          <w:sz w:val="21"/>
          <w:szCs w:val="21"/>
        </w:rPr>
        <w:t xml:space="preserve">during regime transitions, historically correlated assets may decouple; Guardian monitors for this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Sector exposure: </w:t>
      </w:r>
      <w:r>
        <w:rPr>
          <w:rFonts w:ascii="Arial" w:cs="Arial" w:eastAsia="Arial" w:hAnsi="Arial"/>
          <w:sz w:val="21"/>
          <w:szCs w:val="21"/>
        </w:rPr>
        <w:t xml:space="preserve">track concentration by category (DeFi, L1, meme, etc.)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§6.2 資本分配風控 / Capital Allocation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Maximum single-position allocation: </w:t>
      </w:r>
      <w:r>
        <w:rPr>
          <w:rFonts w:ascii="Arial" w:cs="Arial" w:eastAsia="Arial" w:hAnsi="Arial"/>
          <w:sz w:val="21"/>
          <w:szCs w:val="21"/>
        </w:rPr>
        <w:t xml:space="preserve">P1 cap (e.g., 20% of equity)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Maximum sector allocation: </w:t>
      </w:r>
      <w:r>
        <w:rPr>
          <w:rFonts w:ascii="Arial" w:cs="Arial" w:eastAsia="Arial" w:hAnsi="Arial"/>
          <w:sz w:val="21"/>
          <w:szCs w:val="21"/>
        </w:rPr>
        <w:t xml:space="preserve">P2 adaptive (e.g., 40% in any single sector)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Reserve buffer: </w:t>
      </w:r>
      <w:r>
        <w:rPr>
          <w:rFonts w:ascii="Arial" w:cs="Arial" w:eastAsia="Arial" w:hAnsi="Arial"/>
          <w:sz w:val="21"/>
          <w:szCs w:val="21"/>
        </w:rPr>
        <w:t xml:space="preserve">minimum 30% of equity must remain unallocated for margin calls and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Dynamic sizing: </w:t>
      </w:r>
      <w:r>
        <w:rPr>
          <w:rFonts w:ascii="Arial" w:cs="Arial" w:eastAsia="Arial" w:hAnsi="Arial"/>
          <w:sz w:val="21"/>
          <w:szCs w:val="21"/>
        </w:rPr>
        <w:t xml:space="preserve">position sizes scale with conviction score and inverse of current portfolio risk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§6.3 組合級指標 / Portfolio-Level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Portfolio Sharpe ratio: </w:t>
      </w:r>
      <w:r>
        <w:rPr>
          <w:rFonts w:ascii="Arial" w:cs="Arial" w:eastAsia="Arial" w:hAnsi="Arial"/>
          <w:sz w:val="21"/>
          <w:szCs w:val="21"/>
        </w:rPr>
        <w:t xml:space="preserve">monitored continuously; degradation triggers Guardian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Maximum drawdown: </w:t>
      </w:r>
      <w:r>
        <w:rPr>
          <w:rFonts w:ascii="Arial" w:cs="Arial" w:eastAsia="Arial" w:hAnsi="Arial"/>
          <w:sz w:val="21"/>
          <w:szCs w:val="21"/>
        </w:rPr>
        <w:t xml:space="preserve">P1 hard limit (e.g., 15% from peak)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 margin utilization: </w:t>
      </w:r>
      <w:r>
        <w:rPr>
          <w:rFonts w:ascii="Arial" w:cs="Arial" w:eastAsia="Arial" w:hAnsi="Arial"/>
          <w:sz w:val="21"/>
          <w:szCs w:val="21"/>
        </w:rPr>
        <w:t xml:space="preserve">P1 ceiling; approaching limit triggers reduce-only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Value at Risk (VaR): </w:t>
      </w:r>
      <w:r>
        <w:rPr>
          <w:rFonts w:ascii="Arial" w:cs="Arial" w:eastAsia="Arial" w:hAnsi="Arial"/>
          <w:sz w:val="21"/>
          <w:szCs w:val="21"/>
        </w:rPr>
        <w:t xml:space="preserve">planned L2 capability for portfolio-level VaR estimation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§7 熔斷器 / Circuit Breakers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Circuit breakers are automatic emergency controls that activate when extreme conditions are detected. They operate independently of the normal risk framework and cannot be disabled by Agent actions.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160"/>
        <w:gridCol w:w="16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loss limit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daily loss exceeds P1 max_daily_loss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new entries blocked; reduce-only mode until next UTC day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drawdown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Equity drops &gt; P1 max_drawdown_pct from peak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trading halted; Operator notification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Consecutive losses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10+ consecutive losing round-trips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 auto-paused; other strategies continue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 failure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gate fails (CPU/memory/network)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new entries blocked; existing positions monitored on degraded schedule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data stale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data sources STALE/EXPIRED for &gt; 2 min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trading halted; emergency stops activated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connectivity loss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reach Bybit API for &gt; 60s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hard stops placed on exchange; Operator alerted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§8 風控審計追蹤 / Risk Audit Trail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risk-related decision, parameter change, and circuit breaker activation is recorded in an immutable audit trail.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§8.1 審計記錄內容 / Audit Record Contents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Timestamp (UTC, millisecond precision)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Event type (parameter_change, stop_trigger, circuit_breaker, adaptive_adjustment, manual_override)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Actor (which Agent or Operator initiated the action)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Old value and new value (for parameter changes)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Reason / trigger condition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Affected positions / strategies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Market state at time of event (price, volume, regime)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§8.2 審計保留 / Retention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audit records retained indefinitely (append-only 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Daily summary generated for operational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Accessible via GET /audit-summary and GUI Audit Trail tab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§9 跨文件參照 / Cross-Reference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DOC-01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憲法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principles (especially #1 net PnL, #5 system health first, #6 fail-closed, #9 Agent max autonomy)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DOC-02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邊界定義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 boundary matrix; Operator vs Agent authority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DOC-04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能力藍圖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Capabilities G (autonomous trading) and H (adversarial awareness) constrained by this document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DOC-08 V1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實施橋樑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implementation of compute path budget gates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EX-05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學習邊界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pipeline that feeds Analyst insights back into Guardian adaptations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EX-06 V1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 Agent role definition and override authority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EX-07 V1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感知平面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freshness model used by health gates and circuit breakers</w:t>
            </w:r>
          </w:p>
        </w:tc>
      </w:tr>
    </w:tbl>
    <w:p>
      <w:pPr>
        <w:spacing w:after="80"/>
      </w:pPr>
    </w:p>
    <w:p>
      <w:pPr>
        <w:pBdr>
          <w:top w:val="single" w:color="2E75B6" w:sz="6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 — EX-01 Risk Control Boundary V2.0 — OpenClaw/Bybit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OpenClaw / Bybit — Internal Governance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EX-01 Risk Control Boundary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2026-03-29T14:49:59.511Z</dcterms:created>
  <dcterms:modified xsi:type="dcterms:W3CDTF">2026-03-29T14:49:59.512Z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