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EX-05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Learning Boundary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學習邊界定義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OpenClaw / Bybit AI Agent Trading System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 2.0  —  2026-03-29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Classification: Internal — Governance Document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修訂歷史 /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00"/>
        <w:gridCol w:w="46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learning boundary (suggestion generation only)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alignment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expansion: Evolution Engine L1–L5, strategy incubation pipeline, cross-strategy transfer learning, regime transition prediction, learning data lifecycle, Analyst autonomy boundaries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§1 用途與設計哲學 / Purpose &amp; Design Philosophy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V1 定位：</w:t>
      </w:r>
      <w:r>
        <w:rPr>
          <w:rFonts w:ascii="Arial" w:cs="Arial" w:eastAsia="Arial" w:hAnsi="Arial"/>
          <w:sz w:val="21"/>
          <w:szCs w:val="21"/>
        </w:rPr>
        <w:t xml:space="preserve">學習系統是「建議生成器」——記錄觀察、提取教訓、生成建議供 Operator 審閱。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V2 升級：</w:t>
      </w:r>
      <w:r>
        <w:rPr>
          <w:rFonts w:ascii="Arial" w:cs="Arial" w:eastAsia="Arial" w:hAnsi="Arial"/>
          <w:sz w:val="21"/>
          <w:szCs w:val="21"/>
        </w:rPr>
        <w:t xml:space="preserve">學習系統是「進化引擎」——Analyst Agent 從被動記錄升級為主動進化，可自主孵化新策略、跨策略遷移學習、預測 regime 轉換。但仍嚴格遵守「學習 ≠ 自作主張」（根原則 #7）。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核心區分：</w:t>
      </w:r>
      <w:r>
        <w:rPr>
          <w:rFonts w:ascii="Arial" w:cs="Arial" w:eastAsia="Arial" w:hAnsi="Arial"/>
          <w:sz w:val="21"/>
          <w:szCs w:val="21"/>
        </w:rPr>
        <w:t xml:space="preserve">學習可以自動產生洞察和提案，但不能自動修改 live 配置、放開權限、修改代碼上線。策略孵化流程是學習的最大自主權邊界。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§2 學習管線 / Learning Pipeline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learning pipeline is a five-stage funnel. Each stage has distinct data requirements, automation levels, and governance rules.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700"/>
        <w:gridCol w:w="2560"/>
        <w:gridCol w:w="1100"/>
        <w:gridCol w:w="1900"/>
        <w:gridCol w:w="16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Governance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觀察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record of what happened: trade result, market state, system behavior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automatic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PipelineBridge emits on every round-trip (E1/E1a/E1b)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Append-only, immutable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教訓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 insight from one or more observations: pattern identified, anomaly noted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Auto-scan + manual input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/input/lesson, /learning/auto/scan-lessons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Timestamped, tagged with confidence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Hypothesis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假說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Testable claim derived from lessons: “if condition X, then outcome Y”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(L2+) or manual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/input/hypothesis, /learning/auto/scan-hypotheses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falsifiable; requires experiment to validate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Experiment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實驗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Controlled test in Paper Trading to validate or reject a hypothesis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Semi-automatic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/input/experiment, /learning/experiment/{id}/approve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Isolated PnL tracking; minimum duration/trade count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Verdict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裁定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Conclusion from experiment: confirmed, rejected, or inconclusive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proposes, Operator confirms for high-impact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/learning/hypothesis/{id}/verdict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strategy parameters or generates new hypotheses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§3 Analyst 進化引擎 L1–L5 / Analyst Evolution Engine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Analyst Agent evolves through five maturity levels. Each level unlocks new capabilities and requires demonstrated competence at the previous level before promotion.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§3.1 L1 復盤 / Post-Trade Review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解鎖條件：</w:t>
      </w:r>
      <w:r>
        <w:rPr>
          <w:rFonts w:ascii="Arial" w:cs="Arial" w:eastAsia="Arial" w:hAnsi="Arial"/>
          <w:sz w:val="21"/>
          <w:szCs w:val="21"/>
        </w:rPr>
        <w:t xml:space="preserve">系統啟動即可用（當前狀態）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Record observations on every round-trip completion (auto, Session 8 E1)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Compute basic metrics: win rate, Sharpe ratio, max drawdown, average holding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Tag each observation with regime, strategy, instrument, and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Identify obvious patterns: time-of-day effects, strategy-instrument mismatch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計算層級：</w:t>
      </w:r>
      <w:r>
        <w:rPr>
          <w:rFonts w:ascii="Arial" w:cs="Arial" w:eastAsia="Arial" w:hAnsi="Arial"/>
          <w:sz w:val="21"/>
          <w:szCs w:val="21"/>
        </w:rPr>
        <w:t xml:space="preserve">L0 only (zero cost)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§3.2 L2 模式發現 / Pattern Discovery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解鎖條件：</w:t>
      </w:r>
      <w:r>
        <w:rPr>
          <w:rFonts w:ascii="Arial" w:cs="Arial" w:eastAsia="Arial" w:hAnsi="Arial"/>
          <w:sz w:val="21"/>
          <w:szCs w:val="21"/>
        </w:rPr>
        <w:t xml:space="preserve">500+ observations accumulated; win_rate &gt;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Cross-strategy performance comparison under same regime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Regime-specific strategy ranking (which strategy works best in trending vs ranging)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Cost attribution analysis: which strategies have best net-of-cost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Correlation discovery: identify relationships between market features and trade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Anomaly detection: flag unusual outcomes for deeper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計算層級：</w:t>
      </w:r>
      <w:r>
        <w:rPr>
          <w:rFonts w:ascii="Arial" w:cs="Arial" w:eastAsia="Arial" w:hAnsi="Arial"/>
          <w:sz w:val="21"/>
          <w:szCs w:val="21"/>
        </w:rPr>
        <w:t xml:space="preserve">L1 (local Ollama) for pattern recognition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§3.3 L3 假說實驗 / Hypothesis &amp; Experiment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解鎖條件：</w:t>
      </w:r>
      <w:r>
        <w:rPr>
          <w:rFonts w:ascii="Arial" w:cs="Arial" w:eastAsia="Arial" w:hAnsi="Arial"/>
          <w:sz w:val="21"/>
          <w:szCs w:val="21"/>
        </w:rPr>
        <w:t xml:space="preserve">L2 running for 2+ weeks; 3+ confirmed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Generate testable hypotheses from L2 patterns (e.g., “MA crossover performs 40% better in trending regimes with &gt;2x average volume”)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controlled experiments in Paper Trading with isolated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Statistical validation: minimum sample size, significance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Experiment lifecycle: proposed → approved → running → completed → verdict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計算層級：</w:t>
      </w:r>
      <w:r>
        <w:rPr>
          <w:rFonts w:ascii="Arial" w:cs="Arial" w:eastAsia="Arial" w:hAnsi="Arial"/>
          <w:sz w:val="21"/>
          <w:szCs w:val="21"/>
        </w:rPr>
        <w:t xml:space="preserve">L1.5 for hypothesis generation; L0/L1 for experiment execution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§3.4 L4 策略進化 / Strategy Evolution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解鎖條件：</w:t>
      </w:r>
      <w:r>
        <w:rPr>
          <w:rFonts w:ascii="Arial" w:cs="Arial" w:eastAsia="Arial" w:hAnsi="Arial"/>
          <w:sz w:val="21"/>
          <w:szCs w:val="21"/>
        </w:rPr>
        <w:t xml:space="preserve">3+ validated hypotheses from L3; positive experiment ROI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Evolve strategy parameters based on validated experiment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new strategy variants (e.g., MA Crossover v2 with volume filter)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Cross-strategy transfer learning: apply insights from one strategy to improve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Regime transition prediction: use accumulated pattern data to anticipate regime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Strategy incubation: auto-deploy promising variants to Paper Trading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計算層級：</w:t>
      </w:r>
      <w:r>
        <w:rPr>
          <w:rFonts w:ascii="Arial" w:cs="Arial" w:eastAsia="Arial" w:hAnsi="Arial"/>
          <w:sz w:val="21"/>
          <w:szCs w:val="21"/>
        </w:rPr>
        <w:t xml:space="preserve">L2 (full cloud) for complex strategy evaluation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§3.5 L5 元學習 / Meta-Learning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解鎖條件：</w:t>
      </w:r>
      <w:r>
        <w:rPr>
          <w:rFonts w:ascii="Arial" w:cs="Arial" w:eastAsia="Arial" w:hAnsi="Arial"/>
          <w:sz w:val="21"/>
          <w:szCs w:val="21"/>
        </w:rPr>
        <w:t xml:space="preserve">6+ months operational data; sustained positive live performance; Operator explicit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Learn how to learn better: optimize the learning pipeline’s own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Identify blind spots in Analyst’s analysis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Self-calibrate confidence levels based on historical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Propose improvements to observation recording, hypothesis generation, and experiment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Meta-hypothesis: hypotheses about the learning process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計算層級：</w:t>
      </w:r>
      <w:r>
        <w:rPr>
          <w:rFonts w:ascii="Arial" w:cs="Arial" w:eastAsia="Arial" w:hAnsi="Arial"/>
          <w:sz w:val="21"/>
          <w:szCs w:val="21"/>
        </w:rPr>
        <w:t xml:space="preserve">L2 + Operator review for all meta-learning proposals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§4 策略孵化流程 / Strategy Incubation Pipeline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New strategies emerge from the learning pipeline and follow a structured path from idea to live deployment. This is the maximum extent of learning autonomy—and the most important boundary.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600"/>
        <w:gridCol w:w="3260"/>
        <w:gridCol w:w="16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Idea Generation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L3+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 or hypothesis suggests a new strategy approach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+ Strategist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strategy logic, parameters, entry/exit rules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Semi-automatic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Deployment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(auto-deploy)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to Paper Trading Engine with isolated PnL tracking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(no Operator approval needed)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Gate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weeks + 500 trades + positive net PnL + &gt;30% win rate + Sharpe &gt;0.5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evaluation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Promotion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 verifies gate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gate criteria ALL met simultaneously, strategy becomes live-eligible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Auto-promote (first new type needs Operator approval)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Monitoring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+ Guardian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performance monitoring; auto-pause on 10 consecutive losses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 or Analyst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removed when consistently underperforming alternatives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Semi-automatic (logged)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§4.1 孵化邊界規則 / Incubation Boundary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Paper deployment is autonomous: </w:t>
      </w:r>
      <w:r>
        <w:rPr>
          <w:rFonts w:ascii="Arial" w:cs="Arial" w:eastAsia="Arial" w:hAnsi="Arial"/>
          <w:sz w:val="21"/>
          <w:szCs w:val="21"/>
        </w:rPr>
        <w:t xml:space="preserve">Analyst can deploy any strategy variant to paper without Operator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 promotion is gated: </w:t>
      </w:r>
      <w:r>
        <w:rPr>
          <w:rFonts w:ascii="Arial" w:cs="Arial" w:eastAsia="Arial" w:hAnsi="Arial"/>
          <w:sz w:val="21"/>
          <w:szCs w:val="21"/>
        </w:rPr>
        <w:t xml:space="preserve">all 5 gate criteria must be simultaneously met; no exceptions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First-of-type requires Operator: </w:t>
      </w:r>
      <w:r>
        <w:rPr>
          <w:rFonts w:ascii="Arial" w:cs="Arial" w:eastAsia="Arial" w:hAnsi="Arial"/>
          <w:sz w:val="21"/>
          <w:szCs w:val="21"/>
        </w:rPr>
        <w:t xml:space="preserve">the first live deployment of a previously unseen strategy type requires explicit Operator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Subsequent deployments of same type are autonomous: </w:t>
      </w:r>
      <w:r>
        <w:rPr>
          <w:rFonts w:ascii="Arial" w:cs="Arial" w:eastAsia="Arial" w:hAnsi="Arial"/>
          <w:sz w:val="21"/>
          <w:szCs w:val="21"/>
        </w:rPr>
        <w:t xml:space="preserve">once a strategy type has been approved for live, new variants of that type auto-promote if gate criteria met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Failed experiments are valuable: </w:t>
      </w:r>
      <w:r>
        <w:rPr>
          <w:rFonts w:ascii="Arial" w:cs="Arial" w:eastAsia="Arial" w:hAnsi="Arial"/>
          <w:sz w:val="21"/>
          <w:szCs w:val="21"/>
        </w:rPr>
        <w:t xml:space="preserve">rejected hypotheses and failed strategies are recorded as negative results to prevent re-testing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§5 跨策略遷移學習 / Cross-Strategy Transfer Learning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Insights from one strategy can improve others. The Analyst identifies transferable patterns and proposes cross-pollination experiments.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§5.1 遷移學習類型 / Transfer Learning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Parameter transfer: </w:t>
      </w:r>
      <w:r>
        <w:rPr>
          <w:rFonts w:ascii="Arial" w:cs="Arial" w:eastAsia="Arial" w:hAnsi="Arial"/>
          <w:sz w:val="21"/>
          <w:szCs w:val="21"/>
        </w:rPr>
        <w:t xml:space="preserve">optimal ATR multiplier discovered for MA Crossover may apply to BB Breakout in similar regimes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Filter transfer: </w:t>
      </w:r>
      <w:r>
        <w:rPr>
          <w:rFonts w:ascii="Arial" w:cs="Arial" w:eastAsia="Arial" w:hAnsi="Arial"/>
          <w:sz w:val="21"/>
          <w:szCs w:val="21"/>
        </w:rPr>
        <w:t xml:space="preserve">volume filter validated in one strategy tested across all trend-following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Regime knowledge transfer: </w:t>
      </w:r>
      <w:r>
        <w:rPr>
          <w:rFonts w:ascii="Arial" w:cs="Arial" w:eastAsia="Arial" w:hAnsi="Arial"/>
          <w:sz w:val="21"/>
          <w:szCs w:val="21"/>
        </w:rPr>
        <w:t xml:space="preserve">regime transition patterns learned globally shared across all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Exit rule transfer: </w:t>
      </w:r>
      <w:r>
        <w:rPr>
          <w:rFonts w:ascii="Arial" w:cs="Arial" w:eastAsia="Arial" w:hAnsi="Arial"/>
          <w:sz w:val="21"/>
          <w:szCs w:val="21"/>
        </w:rPr>
        <w:t xml:space="preserve">time-stop optimization from one strategy applied as default across portfolio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§5.2 遷移邊界 / Transfer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Transfer proposals require Analyst L3+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transfer is treated as a new hypothesis requiring its own validation experiment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Cross-family transfers (e.g., spot insight applied to perps) require extra validation due to different risk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Transfers cannot violate P0/P1 risk parameters of the target strategy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§6 Regime 轉換預測 / Regime Transition Prediction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At Analyst L4+, the learning engine begins predicting regime transitions rather than just detecting them after the fact.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§6.1 預測信號 / Prediction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Bollinger Band width compression/expansion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Volume profile divergence from recent average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Order book depth asymmetry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Cross-asset correlation shifts (e.g., BTC-ETH correlation breaking 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Macro event proximity (FOMC, CPI within 24h)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Funding rate divergence from historical mean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§6.2 預測邊界 / Prediction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Predictions are probabilistic: </w:t>
      </w:r>
      <w:r>
        <w:rPr>
          <w:rFonts w:ascii="Arial" w:cs="Arial" w:eastAsia="Arial" w:hAnsi="Arial"/>
          <w:sz w:val="21"/>
          <w:szCs w:val="21"/>
        </w:rPr>
        <w:t xml:space="preserve">expressed as confidence % (never binary YES/NO)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Low-confidence predictions (&lt;50%) are informational only: </w:t>
      </w:r>
      <w:r>
        <w:rPr>
          <w:rFonts w:ascii="Arial" w:cs="Arial" w:eastAsia="Arial" w:hAnsi="Arial"/>
          <w:sz w:val="21"/>
          <w:szCs w:val="21"/>
        </w:rPr>
        <w:t xml:space="preserve">no action taken, logged for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Medium-confidence (50–75%) trigger defensive posture: </w:t>
      </w:r>
      <w:r>
        <w:rPr>
          <w:rFonts w:ascii="Arial" w:cs="Arial" w:eastAsia="Arial" w:hAnsi="Arial"/>
          <w:sz w:val="21"/>
          <w:szCs w:val="21"/>
        </w:rPr>
        <w:t xml:space="preserve">Guardian tightens stops, reduces new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High-confidence (&gt;75%) trigger proactive repositioning: </w:t>
      </w:r>
      <w:r>
        <w:rPr>
          <w:rFonts w:ascii="Arial" w:cs="Arial" w:eastAsia="Arial" w:hAnsi="Arial"/>
          <w:sz w:val="21"/>
          <w:szCs w:val="21"/>
        </w:rPr>
        <w:t xml:space="preserve">strategy switching, position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All predictions are tracked for calibration: </w:t>
      </w:r>
      <w:r>
        <w:rPr>
          <w:rFonts w:ascii="Arial" w:cs="Arial" w:eastAsia="Arial" w:hAnsi="Arial"/>
          <w:sz w:val="21"/>
          <w:szCs w:val="21"/>
        </w:rPr>
        <w:t xml:space="preserve">predicted vs actual regime tracked to improve future accuracy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§7 學習數據生命週期 / Learning Data Lifecycle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§7.1 數據保留 / Data 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Observations: </w:t>
      </w:r>
      <w:r>
        <w:rPr>
          <w:rFonts w:ascii="Arial" w:cs="Arial" w:eastAsia="Arial" w:hAnsi="Arial"/>
          <w:sz w:val="21"/>
          <w:szCs w:val="21"/>
        </w:rPr>
        <w:t xml:space="preserve">indefinite retention (raw source of truth)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Lessons: </w:t>
      </w:r>
      <w:r>
        <w:rPr>
          <w:rFonts w:ascii="Arial" w:cs="Arial" w:eastAsia="Arial" w:hAnsi="Arial"/>
          <w:sz w:val="21"/>
          <w:szCs w:val="21"/>
        </w:rPr>
        <w:t xml:space="preserve">indefinite retention; tagged as active/deprecated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Hypotheses: </w:t>
      </w:r>
      <w:r>
        <w:rPr>
          <w:rFonts w:ascii="Arial" w:cs="Arial" w:eastAsia="Arial" w:hAnsi="Arial"/>
          <w:sz w:val="21"/>
          <w:szCs w:val="21"/>
        </w:rPr>
        <w:t xml:space="preserve">indefinite retention; tagged as pending/confirmed/rejected/inconclusive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Experiments: </w:t>
      </w:r>
      <w:r>
        <w:rPr>
          <w:rFonts w:ascii="Arial" w:cs="Arial" w:eastAsia="Arial" w:hAnsi="Arial"/>
          <w:sz w:val="21"/>
          <w:szCs w:val="21"/>
        </w:rPr>
        <w:t xml:space="preserve">indefinite retention including full trade-by-trade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Verdicts: </w:t>
      </w:r>
      <w:r>
        <w:rPr>
          <w:rFonts w:ascii="Arial" w:cs="Arial" w:eastAsia="Arial" w:hAnsi="Arial"/>
          <w:sz w:val="21"/>
          <w:szCs w:val="21"/>
        </w:rPr>
        <w:t xml:space="preserve">indefinite retention; linked to originating hypothesis and experiment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§7.2 數據品質標記 / Data Quality Tagging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fact: </w:t>
      </w:r>
      <w:r>
        <w:rPr>
          <w:rFonts w:ascii="Arial" w:cs="Arial" w:eastAsia="Arial" w:hAnsi="Arial"/>
          <w:sz w:val="21"/>
          <w:szCs w:val="21"/>
        </w:rPr>
        <w:t xml:space="preserve">objectively verifiable data (price, volume, fill, timestamp)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inference: </w:t>
      </w:r>
      <w:r>
        <w:rPr>
          <w:rFonts w:ascii="Arial" w:cs="Arial" w:eastAsia="Arial" w:hAnsi="Arial"/>
          <w:sz w:val="21"/>
          <w:szCs w:val="21"/>
        </w:rPr>
        <w:t xml:space="preserve">derived from facts with defined methodology (regime detection, correlation)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hypothesis: </w:t>
      </w:r>
      <w:r>
        <w:rPr>
          <w:rFonts w:ascii="Arial" w:cs="Arial" w:eastAsia="Arial" w:hAnsi="Arial"/>
          <w:sz w:val="21"/>
          <w:szCs w:val="21"/>
        </w:rPr>
        <w:t xml:space="preserve">proposed but unvalidated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Principle #8: </w:t>
      </w:r>
      <w:r>
        <w:rPr>
          <w:rFonts w:ascii="Arial" w:cs="Arial" w:eastAsia="Arial" w:hAnsi="Arial"/>
          <w:sz w:val="21"/>
          <w:szCs w:val="21"/>
        </w:rPr>
        <w:t xml:space="preserve">all conclusions must carry these tags; mixing them is a governance violation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§8 Analyst 自主權邊界 / Analyst Autonomy Boundaries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§8.1 Analyst 可自主執行 / Analyst Can Autonomously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Record observations (fully automatic)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Extract lessons from observations (auto-scan enabled)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Generate hypotheses from patterns (L2+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Deploy experiments to Paper Trading (no Operator pre-approval)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Evaluate experiment results and propose verdicts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Recommend strategy parameter adjustments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Auto-deploy validated strategy variants to paper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Track and report learning pipeline metrics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§8.2 Analyst 禁止自主 / Analyst Cannot Autonomously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Modify live strategy parameters directly (must go through Guardian validation)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Promote strategies to live that haven’t passed the gate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Disable or modify P0/P1 risk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Delete or modify historical observations (append-only)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Override Guardian’s risk-based rejections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Access execution systems directly (no order placement capability)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Modify its own evolution level (promotion requires demonstrated criteria)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§8.3 需要 Operator 批准 / Requires Operator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First-ever live deployment of a new strategy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Changes to Paper→Live gate criteria themselves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Analyst L5 meta-learning proposals that change the learning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Cross-product-family strategy transfers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Increasing AI compute budget ceiling for learning activities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§9 跨文件參照 / Cross-Reference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DOC-01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憲法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Principle #7 (學習≠自作主張) and #8 (事實/推斷/假說區分) are foundational to this document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DOC-04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能力藍圖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 E (Continuous Learning) implemented by this document’s framework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DOC-06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變更治理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learning-driven changes are governed and approved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DOC-08 V1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實施橋樑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budget management that constrains learning compute usage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EX-01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風控邊界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framework that constrains strategy incubation and live promotion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EX-06 V1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Agent role definition and inter-Agent communication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EX-07 V1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感知平面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sources that feed observations; freshness and quality tagging</w:t>
            </w:r>
          </w:p>
        </w:tc>
      </w:tr>
    </w:tbl>
    <w:p>
      <w:pPr>
        <w:spacing w:after="80"/>
      </w:pPr>
    </w:p>
    <w:p>
      <w:pPr>
        <w:pBdr>
          <w:top w:val="single" w:color="2E75B6" w:sz="6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— EX-05 Learning Boundary V2.0 — OpenClaw/Bybit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OpenClaw / Bybit — Internal Governance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EX-05 Learning Boundary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2026-03-29T14:54:19.035Z</dcterms:created>
  <dcterms:modified xsi:type="dcterms:W3CDTF">2026-03-29T14:54:19.036Z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