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causal resultatives,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Residual unregistered simple sentences still use a conservative fallback parser; Mary admired the painting red yesterday, for example, remains a shallow timed resultative scaffold at_T(yesterday, Cause(mary, Transition(painting, color_scale, _, red)))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and the plant killed must expose a type_check-stage inspect_ast action under the registered construction scope construction_rule for lexical_state_change. Each row-local Action JSON preview is compared with its /api/analyze-action payload and download response.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verifier also rejects schema drift, failure-stage drift, required-fixture-stage drift, recovery-action drift, semantic-reading-field drift, and stale selector links to that contract endpoint.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checks the registered locative_intransitive_predication route, including locative_intransitive_predication_single_reading, the absence of a fallback draft, and the Coq/Rocq declaration on_mat : Adv rather than on_mat : Entity. The remaining fallback success contract is now exercised with Mary admired the painting red yesterday, where the verifier checks fallback_single_reading, fallback_event_semantics, the construction-rule draft, and the rendered reading_explanation interpretation. This makes promoted event-counting, promoted active argument omission, promoted plain transitive predication, promoted modified transitive predication, promoted locative modification,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composition cases such as temporal_event_counting for John knocked twice yesterday, temporal_plain_transitive_predication for Mary admired the painting yesterday, temporal_modified_transitive_predication for Mary admired the painting in the gallery yesterday, multi_adv_modified_transitive_predication for Mary admired the painting in the gallery with a telescope, temporal_multi_adv_modified_transitive_predication for the corresponding timed sentence, triple_adv_modified_transitive_predication for Mary admired the painting in the gallery with a telescope near a window, temporal_triple_adv_modified_transitive_predication for the timed three-Adv sentence, quad_adv_modified_transitive_predication for Mary admired the painting in the gallery with a telescope near a window beside a shelf, temporal_quad_adv_modified_transitive_predication for the timed four-Adv sentence, quint_adv_modified_transitive_predication for Mary admired the painting in the gallery with a telescope near a window beside a shelf under a lamp, and temporal_quint_adv_modified_transitive_predication for the timed five-Adv sentence; fallback cases remain marked as shallow scaffolds, and the rejected cases record the marker that must stop the pipeline before fallback. The same manifest now includes semantic_snapshots and semantic_snapshot_count: one static summary per registered construction, fixing the expected analysis label, dependent-type translation fragments, semantic-reading names and sources, exported Coq/Rocq definitions, type-check result, and expected_ast_summary. The AST summary is deliberately compact: it records structural features such as AST kind, predicate symbols and types, entity and state symbols, time binders, quantifier signatures, and core list counts rather than freezing the whole JSON tree. Unit tests execute the primary and variant coverage cases against the current analyzer, and the smoke check compares the API manifest with stable HTML data attributes in the Certified Fragment panel while also running the live analyzer against every semantic snapshot and AST summary. This is again not a new semantic replacement rule, but it turns an important methodological boundary into a testable artifact: the prototype can advertise the fragment it currently certifies and detect semantic drift or parser-level drift within that fragment without implying that arbitrary natural language has already been solved.</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