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not captured by the rule, and that malformed predicate or modifier types are rejected before Coq export.</w:t>
      </w:r>
    </w:p>
    <w:p>
      <w:r>
        <w:t>The transitive predicate-coordination tests check the next VP-level case. John ate bread and drank water exports two typed transitive predicates under and_T, with bread : Food, water : Drinkable, eat : Entity -&gt; Food -&gt; Prop, and drink : Entity -&gt; Drinkable -&gt; Prop.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now preserved for those clear contrastive readings as well: John did not walk but talked in the park becomes and_T(not_T(walk(1)(in(park), john)), talk(1)(in(park), john)), and John did not eat bread but drank water in the park keeps bread : Food, water : Drinkable, and in(park) : Adv. The implementation still rejects left-branch-only modifier cases such as John did not eat bread in the park but drank water, because accepting them would otherwise collapse bread in the park into a spurious object name; the diagnostic now records an explicit unsupported left-branch modifier reason before Coq export is attempted. Scope-ambiguous coordinated negation, such as John did not walk and talk, is likewise rejected at the internal type-checking stage rather than being passed to the fallback parser as a malformed subject or object. This is an intentionally conservative automation choice: unsupported negation should fail visibly instead of compiling to a plausible but wrong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coordination layer has also been extended one step further to same-subject transitive verb phrases. John ate bread and drank water is rendered as and_T(eat(john, bread), drink(john, water)), not as eat(0)(john, bread_and_drank_water).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as object 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