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and model-boundary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new theorem semantic_preservation_model_interpretable proves that every SemanticPreservation derivation can be lifted to ModelInterpretable, and each exported example receives a checked theorem example_i_model_interpretable. These model interpretability boundary proofs do not yet prove full denotational soundness of the replacement strategy. This distinction matters methodologically: the project can now verify that the generated proof obligations are synchronized, well typed, correctly attached to their exported examples, derivable in the structural proof relation, and liftable to a named model-interface relation without claiming that the model-interface constructors themselves have already been proved sound for an independently specified semantic model.</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and Coq model interpretability boundary proofs, and incomplete_objectives for arbitrary natural-language semantics, deep Coq semantic-model soundness, unregistered scope/attachment/discourse ambiguity, and complete front-end lexical replacement. Completion blockers such as model_interpretability_denotation_unproved and next recommended stages such as prove_model_interpretable_denotational_soundness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and coq_model_interpretability_boundary as verified evidence. These fields are deliberately narrower than deep_coq_semantic_proofs: they say the generated proof targets, their shallow Coq well-formedness proofs, their record-binding proofs, their structural preservation proofs, and their ModelInterpretable boundary proofs are present and type checked, while model_interpretability_denotation_unproved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