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Residual unregistered simple sentences still use a conservative fallback parser; Mary laughed from a window with a camera beside a shelf loudly under a lamp on a table with a microphone near a door with a telescope near a window yesterday remains a shallow Source+Instrument+Location+Manner+Location+Location+Instrument+Location+Instrument+Location mixed modifier scaffold at_T(yesterday, laugh(10)(from(window), with(camera), beside(shelf), loudly, under(lamp), on(table), with(microphone), near(door), with(telescope), near(window),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The remaining fallback success contract is now exercised with Mary laughed from a window with a camera beside a shelf loudly under a lamp on a table with a microphone near a door with a telescope near a window yesterday, where the verifier checks fallback_single_reading, fallback_event_semantics, the construction-rule draft, the shallow Source+Instrument+Location+Manner+Location+Location+Instrument+Location+Instrument+Location mixed modifier scaffold at_T(yesterday, laugh(10)(from(window), with(camera), beside(shelf), loudly, under(lamp), on(table), with(microphone), near(door), with(telescope), near(window),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