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and froze,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not captured by the rule, and that malformed predicate or modifier types are rejected before Coq export.</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and John either ate bread or drank water keeps the same subject and objects rather than constructing john_either.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still analyzed as a transitive fallback with paris_and_london as the Theme. This boundary is methodologically important: the translator may add constructions incrementally, but each construction must state what it licenses and what it refuses to license.</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as object 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type_check object in a dedicated Type Check panel, so construction-specific AST failures such as an unlicensed state-change frame expose their exact error list to the user.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