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the modifier boundary stops before the quantified subject, so the implementation records in_bathroom rather than the malformed name in_bathroom_some.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