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instance. It separates the exported atom basis as ConcreteRegisteredAtomicTruth and ConcreteRegisteredTruthBasis, closes the basis under Sigma, repetition, temporal, negation, and Cause constructors as ConcreteRegisteredTruth, instantiates concrete_registered_truth_conditions as a FullyRegisteredTruthConditionSpec, and checks example_i_concrete_registered_truth, example_i_concrete_registered_truth_condition_sound, and example_i_concrete_registered_truth_condition_atomic_sound for every exported example. The same concrete registered closure is now also factored through ConcreteRegisteredTruthKernel, a registered evidence-gated kernel whose lexical clauses require RegisteredLexicalApplicationTruth and whose transition clauses require RegisteredStateTransitionTruth. The generated files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truth-condition instance,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concrete-registered-truth-condition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coq_concrete_registered_truth_condition_instance, coq_concrete_registered_truth_kernel_instance, coq_concrete_registered_kernel_example_truth_instance_package, coq_concrete_registered_example_truth_instance_package, and coq_registered_example_truth_instance_package. This adds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concrete-registered-truth-condition, concrete-registered-truth-kernel, concrete-registered-kernel-example-package, concrete-registered-example-package, and registered-example-package drift to the same project-completion guard: the page and verifier must continue to expose the explicit kernel instances,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concrete_registered_truth_conditions spec, the ConcreteRegisteredTruthKernel evidence, the concrete_registered_truth_conditions_from_kernel spec, the ConcreteRegisteredKernelExampleTruthInstances package, the ConcreteRegisteredExampleTruthInstances package, the RegisteredExampleTruthInstances package, and the per-example model-interpretable, syntax-directed, primitive, atomic-closure truth-kernel, atomic-closure truth-condition, transition-refined atomic-closure, registered truth-condition, fully registered truth-condition, concrete registered truth-condition,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coq_concrete_registered_truth_condition_instance,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truth-condition instance,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