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source policy, and any unknown-source warning without requiring the reader to inspect the raw AST.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