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subject-coordination tests cover the complementary case in which two Entity subjects share one intransitive predicate. John and Mary walked and Both John and Mary walked render as and_T(walk(john), walk(mary)); John or Mary walked renders as or_T(walk(john), walk(mary)); and John and Mary walked in the park yesterday keeps in(park) as a shared Adv modifier and yesterday as an outer time operator. The rule is intentionally limited to intransitive predicates at this stage, so John and Mary ate bread is not consumed by this construction; a later transitive subject-coordination rule would need an explicit typed object field.</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intransitive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As with the other construction rules, this is a deliberately typed slice rather than a universal parser: it refuses John and Mary ate bread because a transitive subject-coordination analysis must carry a typed object and predicate type Entity -&gt; ObjectType -&gt; Prop.</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