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This prevents a shallow successful parse from bypassing the semantic-reading audit merely because no registered construction rule fired.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