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Ordinary fallback successes now enter this same interface rather than being treated as a weaker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this ordinary /api/analyze path directly before it walks controlled diagnostic fixtures. It requests John knocked twice through the JSON endpoint and the matching HTML page, then checks that both surfaces expose fallback_single_reading, fallback_event_semantics, example_1, a none attachment summary, and the rendered reading_explanation interpretation. This makes the fallback success contract part of the live HTTP acceptance boundary rather than only a unit-level serializer expectation.</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The page mirrors this contract in a Certified Fragment panel, and the smoke check compares the API manifest with stable HTML data attributes. This is again not a new semantic replacement rule, but it turns an important methodological boundary into a testable artifact: the prototype can advertise the fragment it currently certifies without implying that arbitrary natural language has already been solved.</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