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The verified test suite covers four positive translation cases, two negative type-checking cases, and one negative export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These tests turn the theoretical decomposition into a sequence of small, reproducible implementation stages.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_ broken). Export is deliberately refused for ill-typed ASTs, so the proof-assistant boundary is guarded by the same structural checks used by the translator.</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and exported to a shallow Lean- or Coq-style embedding before deeper formalization.</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