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This atomic-closure layer leaves lexical predicate applications and Transition as atom-level constructors, while Sigma, repetition, temporal operators, negation, and Cause are closed by checked constructors. These instance-level proofs show record inhabitation, structural denotation, concrete-kernel wiring, model-interpretable, syntax-directed, primitive-assumption, lexical-transition-assumption-split, lexical-transition-model, atomic-valuation-spec, atomic-base-valuation, atomic-closure kernel, and atomic-closure truth-condition-spec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and atomic-closure truth-condition-spec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and a Coq atomic-closure truth-condition-spec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and coq_atomic_closure_truth_condition_spec_instance. This adds model-interpretable-kernel-instance, syntax-directed-kernel-instance, primitive-truth-assumption-kernel, atomic-closure-kernel, lexical-transition-assumption-split, lexical-transition-model, atomic-valuation-spec, atomic-base-valuation, and atomic-closure-truth-condition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and the per-example model-interpretable, syntax-directed, primitive, atomic-closure truth-kernel, and atomic-closure truth-condition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and coq_atomic_closure_truth_condition_spec_instance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and their named atomic-closure TruthConditionSpec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