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These truth-condition-spec bridge proofs still do not instantiate the truth conditions of a concrete semantic model. This distinction matters methodologically: the project can now verify that the generated proof obligations are synchronized, well typed, correctly attached to their exported examples, derivable in the structural proof relation, liftable to a named model-interface relation, and accepted by any model satisfying the interface, without claiming that the interface has already been filled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and Coq truth-condition spec bridge proofs,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or project-completion drift within that fragment without implying that arbitrary natural language has already been solved.</w:t>
      </w:r>
    </w:p>
    <w:p>
      <w:r>
        <w:t>The completion manifest now separately records coq_obligation_wellformedness_proofs, coq_obligation_record_binding_proofs, coq_structural_preservation_proofs, coq_model_interpretability_boundary, coq_semantic_model_denotation_boundary, and coq_truth_condition_spec_bridge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and their TruthConditionSpec bridge proofs are present and type checked, while concrete_truth_condition_instances_unproved still remains a completion blocker.</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