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negative-case contract. Regression tests compare CLI JSON and CLI --patch-out files with live HTTP JSON and format=patch responses for empty input, unknown draft ids, conflicting source states, and repeated identical resolutions. The project-level smoke check also verifies that non-zero CLI exits still write the guarded review artifacts before failing. These cases now live in a shared contract table imported by both the unit test and verifier, so the offline review path and browser/API path cannot silently accumulate different boundary examples. Thus an offline repair review cannot accidentally become less conservative than the browser/API path.</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