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AtomicTruthFacts, AtomicClosureTruth, the induced atomic_closure_truth_kernel, model_interpretable_atomic_closure_truth, atomic_closure_truth_kernel_denotes_atomic_closure_truth, and per-example example_i_atomic_closure_truth and example_i_atomic_closure_truth_kernel_sound checks. This atomic-closure layer leaves lexical predicate applications and Transition as atom-level facts, while Sigma, repetition, temporal operators, negation, and Cause are closed by checked constructors. These instance-level proofs show record inhabitation, structural denotation, concrete-kernel wiring, model-interpretable, syntax-directed, primitive-assumption, and atomic-closure kernel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and atomic-closure kernel instances, without claiming that the remaining atom-level assumptions have already been discharged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and a Coq atomic-closure truth-kernel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and coq_atomic_closure_truth_kernel_instance. This adds model-interpretable-kernel-instance, syntax-directed-kernel-instance, primitive-truth-assumption-kernel, and atomic-closure-kernel drift to the same project-completion guard: the page and verifier must continue to expose the explicit kernel instances, the induced truth-condition records, and the per-example model-interpretable, syntax-directed, primitive, and atomic-closure truth-kernel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and coq_atomic_closure_truth_kernel_instance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and their atomic-closure kernel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