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instance. It separates the exported atom basis as ConcreteRegisteredAtomicTruth and ConcreteRegisteredTruthBasis, closes the basis under Sigma, repetition, temporal, negation, and Cause constructors as ConcreteRegisteredTruth, instantiates concrete_registered_truth_conditions as a FullyRegisteredTruthConditionSpec, and checks example_i_concrete_registered_truth, example_i_concrete_registered_truth_condition_sound, and example_i_concrete_registered_truth_condition_atomic_sound for every exported example.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truth-condition instance,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concrete-registered-truth-condition drift, registered-example-package drift, or project-completion drift within that fragment without implying that arbitrary natural language has already been solved.</w:t>
      </w:r>
    </w:p>
    <w:p>
      <w:r>
        <w:t>The current manifest evidence list also includes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coq_concrete_registered_truth_condition_instance, and coq_registered_example_truth_instance_package. This adds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concrete-registered-truth-condition, and registered-example-package drift to the same project-completion guard: the page and verifier must continue to expose the explicit kernel instances,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concrete_registered_truth_conditions spec, the RegisteredExampleTruthInstances package, and the per-example model-interpretable, syntax-directed, primitive, atomic-closure truth-kernel, atomic-closure truth-condition, transition-refined atomic-closure, registered truth-condition, fully registered truth-condition, concrete registered truth-condition,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coq_concrete_registered_truth_condition_instance,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truth-condition instance, and their finite registered example truth-instance package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