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an explicit frame field, and the checker uses both the frame and the registration as negative guards, rejecting internally malformed analyses whose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and lemmatized forms such as seen, written, died, opened, and froze.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