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predicate-coordination tests add a focused regression boundary to this suite. They check that John walked and talked exports two Entity -&gt; Prop predicates under and_T, that Mary ran and jumped and the old dog walked and slept are lemmatized correctly, that trailing and fronted temporal modifiers scope over the conjunction rather than into the subject, that fronted or trailing non-temporal prepositional material such as In the park remains a shared Adv modifier with a ModifierSeq-indexed predicate type, that object coordination such as Mary visited Paris and London is not captured by the rule, and that malformed predicate or modifier types are rejected before Coq export.</w:t>
      </w:r>
    </w:p>
    <w:p>
      <w:r>
        <w:t>The transitive predicate-coordination tests check the next VP-level case. John ate bread and drank water exports two typed transitive predicates under and_T, with bread : Food, water : Drinkable, eat : Entity -&gt; Food -&gt; Prop, and drink : Entity -&gt; Drinkable -&gt; Prop.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and John ate bread and drank water in the park verify that a location is a shared Adv modifier rather than a malformed subject or object. The negative test keeps Mary visited Paris and London outside the VP-coordination rule. A malformed object or modifier type is rejected because the predicate type no longer matches the object's declared type or the shared modifier is no longer Adv.</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Temporal material scopes outside the conjunction, so John walked and talked yesterday and Yesterday John walked and talked both become at_T(yesterday, and_T(walk(john), talk(john))) rather than introducing a subject such as yesterday_john. Non-temporal prepositional material is treated differently in either fronted or trailing position: In the park John walked and talked and John walked and talked in the park both become and_T(walk(1)(in(park), john), talk(1)(in(park), john)), with in_park : Adv and walk, talk : forall n : nat, ModifierSeq n -&gt; Entity -&gt; PropT. The AST records the shared subject, the two surface predicates, their lemmatized names, shared Adv modifiers, the connective and_T,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still analyzed as a transitive fallback with paris_and_london as the Theme. This boundary is methodologically important: the translator may add constructions incrementally, but each construction must state what it licenses and what it refuses to license.</w:t>
      </w:r>
    </w:p>
    <w:p>
      <w:r>
        <w:t>The coordination layer has also been extended one step further to same-subject transitive verb phrases. John ate bread and drank water is rendered as and_T(eat(john, bread), drink(john, water)), not as eat(0)(john, bread_and_drank_water).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are shared Adv modifiers across both conjuncts: In the park John ate bread and drank water and John ate bread and drank water in the park both become and_T(eat(1)(in(park), john, bread), drink(1)(in(park), john, water)), while bread and water keep their Food and Drinkable types. The construction is still intentionally narrow; it does not analyze all coordination phenomena, and it continues to leave Mary visited Paris and London as object coordination rather than treating London as the object of an unexpressed second verb.</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