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The same surface boundary has been extended to simple count phrases. In addition to once, twice, and thrice, the fallback parser recognizes one/two/three time(s) and emits a count atom such as times(e, 3). The existing dependent-type AST then renders this as repeat(3, ...). Thus Mary visited Paris three times becomes repeat(3, visit(0)(mary, paris)) rather than visit(0)(mary, paris_three_times), and a cat sits on a mat two times becomes repeat(2, sit(1)(on(mat), cat)) rather than a malformed locative modifier on(mat_two_times).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