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and irregular passive participles,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and froze, the modifier-role table for Location, Instrument, Source, Goal, and Manner readings, and the shared audit constructors used by passive, state-change, and modifier-role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fallback lemmatization tests now also cover ordinary past-tense and irregular motion examples such as chased -&gt; chase, passed -&gt; pass, and flew -&gt; fly,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type_check object in a dedicated Type Check panel, so construction-specific AST failures such as an unlicensed state-change frame expose their exact error list to the user.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