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and froze,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surface modifiers such as in(bathroom) and with(knife) normalize to Adv constants such as in_bathroom and with_knife rather than Entity constants. The negative cases reject an application whose adverb count does not match its modifier vector, an application whose role_frame values, role labels, or role types do not match its ordered arguments and generated function signature, a modifier surface-lexicon audit whose normalized constant disagrees with the exported Adv name,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and surface_lexicon audit fields, including modifier normalized names,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response contains a compact diagnostics object with a human-readable summary, a machine-readable failure_stage field, a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type_check object in a dedicated Type Check panel, so construction-specific AST failures such as an unlicensed state-change frame expose their exact error list to the user.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