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such as Agent and Theme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sigma bodies have propositional type, that repetition counts are positive natural numbers, that time operators are recognized, that transitions have the type Transition, and that the effect of Cause is a transition.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unknown_state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and annotates the exported example as Prop rather than PropT.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or one verb at incompatible non-modifier argument types.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or role labels do not match its ordered arguments, a Cause term whose effect is not a Transition,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 checks that the emitted Lean and Coq scaffolds contain both the shared declarations and the expected example definitions.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and structured recovery_actions. Successful analyses expose no recovery action; failures distinguish input, parsing, type_check, construction_hygiene, and coq_check stages. The web page renders the same actions in a Next Steps panel, with stable data-action-kind attributes and next-step--kind CSS classes so browser tests or later interface buttons can target the suggested repair without parsing prose. This detail is small but methodologically useful: the implementation does not merely announce that a translation failed, but records which layer failed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