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and recovery-action metadata with the corresponding HTML fixture page, while deriving the expected selector count from the manifest rather than from a second hard-coded constant. The same consistency rules are factored into a standalone verifier helper, so regression tests can inject duplicate cases, incomplete metadata, payload case drift, route case drift between manifest paths and fixture cases, label drift between manifest and HTML,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