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and irregular passive participles, event counting, causal resultatives, object-final result phrases such as hammered the metal flat and painted the door red, quantifier-scope ambiguity, typed modifiers, fallback simple sentences, and the three Parsons/Luo-Shi cases above. The quantifier-scope case is now represented internally by structured readings: each reading records a scope order, bound variables, Entity -&gt; Prop restrictor predicates, and an Entity -&gt; Entity -&gt; Prop relation before any readable or Coq formula is rendered. The same readings are exposed through semantic_readings, which is also asserted for simple do-support negation, right-branch do-support coordination, contrastive do-support coordination, repeated do-support negation, do-support ambiguity,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and modifier-role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fallback parser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and a real local web route for the diagnostic fixture manifest,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a --require-docx gate, and the continuous-integration workflow installs the document extra before running it, so Word-generation tests cannot be accidentally mistaken for completed checks when python-docx is absent.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next-step--kind CSS classes, and compact target-detail tables so browser tests or later interface buttons can target the suggested repair without parsing prose.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and recovery action kinds. The selector is rendered from that manifest and carries the manifest schema, manifest API path, and per-option failure-stage and recovery-action metadata, so the visible labels, controls, and JSON inventory cannot silently drift apart; the project-level web smoke check now requests the JSON manifest and then walks every advertised case, comparing each API payload, selected HTML option, API/HTML route case parameter, failure stage, recovery-action metadata, each semantic_readings_repair_details schema, and each recovery action schema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and stale Next Steps action hooks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classified failure kinds, repair details, and any semantic-reading error list before exposing the raw JSON.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