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These instance-level proofs show record inhabitation, structural denotation, and wiring through the exported examples,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and accepted by a non-tautological structural truth-condition instance, without claiming that the interface has already been filled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and a Coq structural truth-condition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and coq_structural_truth_condition_instance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and their structural truth-condition instance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