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three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instantiates concrete_registered_truth_conditions as a FullyRegisteredTruthConditionSpec, and checks example_i_concrete_registered_truth, example_i_concrete_registered_truth_condition_sound, and example_i_concrete_registered_truth_condition_atomic_sound for every exported example. The same concrete registered closure is now also factored through ConcreteRegisteredTruthKernel, a registered evidence-gated kernel whose lexical clauses require RegisteredLexicalApplicationTruth and whose transition clauses require RegisteredStateTransitionTruth. The generated files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truth-condition instance,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coq_concrete_registered_truth_condition_instance, coq_concrete_registered_truth_kernel_instance, coq_concrete_registered_kernel_example_truth_instance_package, coq_concrete_registered_example_truth_instance_package, and coq_registered_example_truth_instance_package. This adds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concrete-registered-truth-condition, concrete-registered-truth-kernel, concrete-registered-kernel-example-package, concrete-registered-example-package, and registered-example-package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concrete_registered_truth_conditions spec, the ConcreteRegisteredTruthKernel evidence, the concrete_registered_truth_conditions_from_kernel spec, the ConcreteRegisteredKernelExampleTruthInstances package, the ConcreteRegisteredExampleTruthInstances package, the RegisteredExampleTruthInstances package, and the per-example model-interpretable, syntax-directed, primitive, atomic-closure truth-kernel, atomic-closure truth-condition, transition-refined atomic-closure, registered truth-condition, fully registered truth-condition, concrete registered atomic-model, concrete registered truth-condition,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coq_concrete_registered_truth_condition_instance,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truth-condition instance,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