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a cat sits on a mat and checks the fallback_single_reading, fallback_event_semantics, construction-rule draft, and rendered reading_explanation interpretation. This makes both the promoted event-counting contract and the remaining fallback success contract part of the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