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Relative-internal temporal modifiers are represented by the same proposition-level time operators used elsewhere: some boy who saw Mary yesterday loved a girl renders boy(x_boy) and at_T(yesterday, see(x_boy, mary)), and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When a trailing Adv is structurally ambiguous, as in some boy loved a girl that saw Mary quickly, the system exposes both the main-clause Adv reading and the object-relative-Adv reading, using see(0)(x_girl, mary) with mods_nil in the unmodified relative branch. The relative marker is not exported as an entity, and relatives with PP Adv or multi-word object structure remain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