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Mixed fronted shared modifiers plus branch-local modifiers remain outside the implemented fragment until their scope is licensed explicitly. Scope-ambiguous coordinated negation, such as John did not walk and talk, is likewise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