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and recovery_action_kinds, so clients can discover the controlled terms without scraping code or HTML. The verifier also rejects schema drift, failure-stage drift, required-fixture-stage drift, recovery-action drift, and stale selector links to that contract endpoint.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