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surface modifiers such as in(bathroom) and with(knife) normalize to Adv constants such as in_bathroom and with_knife rather than Entity constants. The negative cases reject an application whose adverb count does not match its modifier vector, an application whose role_frame values, role labels, or role types do not match its ordered arguments and generated function signature, a modifier surface-lexicon audit whose normalized constant disagrees with the exported Adv name,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