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now preserved for those clear contrastive readings as well: John did not walk but talked in the park becomes and_T(not_T(walk(1)(in(park), john)), talk(1)(in(park), john)), and John did not eat bread but drank water in the park keeps bread : Food, water : Drinkable, and in(park) : Adv. The implementation still rejects left-branch-only modifier cases such as John did not eat bread in the park but drank water, because accepting them would otherwise collapse bread in the park into a spurious object name. Scope-ambiguous coordinated negation, such as John did not walk and talk, is likewise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