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in the park near a window beside a shelf under a lamp with a telescope yesterday, for example, remains a shallow six-modifier scaffold at_T(yesterday, laugh(6)(loudly, in(park), near(window), beside(shelf), under(lamp), with(telescope),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The remaining fallback boundary is therefore deliberately narrower and mixed-role: Mary laughed loudly in the park near a window beside a shelf under a lamp with a telescope yesterday is only a shallow six-modifier scaffold, at_T(yesterday, laugh(6)(loudly, in(park), near(window), beside(shelf), under(lamp), with(telescope), mary)), until a reviewed construction rule decides how such non-Location tails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in the park near a window beside a shelf under a lamp with a telescope yesterday, where the verifier checks fallback_single_reading, fallback_event_semantics, the construction-rule draft, the shallow six-modifier scaffold at_T(yesterday, laugh(6)(loudly, in(park), near(window), beside(shelf), under(lamp), with(telescope),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