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This distinction is important for evaluating the project: the dependent-type replacement of variable polyadicity is not a five-modifier trick, but the implemented natural-language front end is still certified only over an audited finite set of registered surface examples.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